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AD6D2D">
      <w:r>
        <w:rPr>
          <w:noProof/>
          <w:lang w:val="en-NZ" w:eastAsia="en-NZ" w:bidi="ar-SA"/>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495040" cy="611505"/>
            <wp:effectExtent l="0" t="0" r="0" b="0"/>
            <wp:wrapSquare wrapText="bothSides"/>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95040" cy="611505"/>
                    </a:xfrm>
                    <a:prstGeom prst="rect">
                      <a:avLst/>
                    </a:prstGeom>
                    <a:noFill/>
                    <a:ln w="9525">
                      <a:noFill/>
                      <a:miter lim="800000"/>
                      <a:headEnd/>
                      <a:tailEnd/>
                    </a:ln>
                  </pic:spPr>
                </pic:pic>
              </a:graphicData>
            </a:graphic>
          </wp:anchor>
        </w:drawing>
      </w:r>
      <w:r w:rsidR="0033705E">
        <w:br w:type="textWrapping" w:clear="all"/>
      </w:r>
    </w:p>
    <w:p w:rsidR="00A671E6" w:rsidRPr="00CB553A" w:rsidRDefault="00A671E6" w:rsidP="00A671E6"/>
    <w:p w:rsidR="00A671E6" w:rsidRPr="00CB553A" w:rsidRDefault="00F90F1D" w:rsidP="00481EDD">
      <w:pPr>
        <w:rPr>
          <w:sz w:val="28"/>
          <w:szCs w:val="28"/>
        </w:rPr>
      </w:pPr>
      <w:r>
        <w:rPr>
          <w:sz w:val="28"/>
          <w:szCs w:val="28"/>
        </w:rPr>
        <w:t>October</w:t>
      </w:r>
      <w:r w:rsidR="00481EDD">
        <w:rPr>
          <w:sz w:val="28"/>
          <w:szCs w:val="28"/>
        </w:rPr>
        <w:t xml:space="preserve"> 2014</w:t>
      </w:r>
    </w:p>
    <w:p w:rsidR="00A671E6" w:rsidRPr="00CB553A" w:rsidRDefault="00A671E6" w:rsidP="00A671E6"/>
    <w:p w:rsidR="0012388D" w:rsidRPr="008C592C" w:rsidRDefault="00565155" w:rsidP="00B425AA">
      <w:pPr>
        <w:pStyle w:val="FSTitle"/>
      </w:pPr>
      <w:r w:rsidRPr="00CB553A">
        <w:t>Technical Evaluation for L</w:t>
      </w:r>
      <w:r w:rsidR="001D0B7A">
        <w:t>abelling Review Recommendation 1</w:t>
      </w:r>
      <w:r w:rsidRPr="00CB553A">
        <w:t>3</w:t>
      </w:r>
      <w:r>
        <w:t xml:space="preserve">: </w:t>
      </w:r>
      <w:r w:rsidR="00481EDD">
        <w:t xml:space="preserve">Mandatory declaration of </w:t>
      </w:r>
      <w:r w:rsidR="00481EDD" w:rsidRPr="00E31858">
        <w:t xml:space="preserve">trans </w:t>
      </w:r>
      <w:r w:rsidR="00481EDD">
        <w:t>fatty acids</w:t>
      </w:r>
      <w:r w:rsidR="00343949">
        <w:t xml:space="preserve"> in the nutrition information panel</w:t>
      </w:r>
    </w:p>
    <w:p w:rsidR="005B36FD" w:rsidRPr="00B37BF0" w:rsidRDefault="005B36FD" w:rsidP="005B36FD">
      <w:pPr>
        <w:pBdr>
          <w:bottom w:val="single" w:sz="12" w:space="1" w:color="auto"/>
        </w:pBdr>
        <w:spacing w:line="280" w:lineRule="exact"/>
        <w:rPr>
          <w:rFonts w:cs="Arial"/>
          <w:bCs/>
        </w:rPr>
      </w:pPr>
    </w:p>
    <w:p w:rsidR="007F0158" w:rsidRDefault="005B36FD" w:rsidP="006207C9">
      <w:pPr>
        <w:pStyle w:val="Heading1"/>
      </w:pPr>
      <w:bookmarkStart w:id="0" w:name="_Toc286391001"/>
      <w:bookmarkStart w:id="1" w:name="_Toc300933414"/>
      <w:bookmarkStart w:id="2" w:name="_Toc323559035"/>
      <w:bookmarkStart w:id="3" w:name="_Toc378157294"/>
      <w:bookmarkStart w:id="4" w:name="_Toc409699743"/>
      <w:r w:rsidRPr="004B43C2">
        <w:t xml:space="preserve">Executive </w:t>
      </w:r>
      <w:r w:rsidR="004B43C2">
        <w:t>s</w:t>
      </w:r>
      <w:r w:rsidRPr="004B43C2">
        <w:t>ummary</w:t>
      </w:r>
      <w:bookmarkEnd w:id="0"/>
      <w:bookmarkEnd w:id="1"/>
      <w:bookmarkEnd w:id="2"/>
      <w:bookmarkEnd w:id="3"/>
      <w:bookmarkEnd w:id="4"/>
    </w:p>
    <w:p w:rsidR="00C419D0" w:rsidRDefault="00C419D0" w:rsidP="00C419D0">
      <w:pPr>
        <w:autoSpaceDE w:val="0"/>
        <w:autoSpaceDN w:val="0"/>
        <w:adjustRightInd w:val="0"/>
        <w:rPr>
          <w:rFonts w:cs="Arial"/>
          <w:bCs/>
        </w:rPr>
      </w:pPr>
      <w:r w:rsidRPr="00E11E6E">
        <w:rPr>
          <w:rFonts w:cs="Arial"/>
          <w:bCs/>
        </w:rPr>
        <w:t xml:space="preserve">In 2009, </w:t>
      </w:r>
      <w:r w:rsidR="00956247">
        <w:rPr>
          <w:rFonts w:cs="Arial"/>
          <w:bCs/>
        </w:rPr>
        <w:t xml:space="preserve">the then </w:t>
      </w:r>
      <w:r w:rsidR="00956247" w:rsidRPr="00E11E6E">
        <w:rPr>
          <w:rFonts w:cs="Arial"/>
          <w:bCs/>
        </w:rPr>
        <w:t xml:space="preserve">Australian and New Zealand </w:t>
      </w:r>
      <w:r w:rsidR="00956247">
        <w:rPr>
          <w:rFonts w:cs="Arial"/>
          <w:bCs/>
        </w:rPr>
        <w:t xml:space="preserve">Ministerial Council for Food Regulation (now known as the </w:t>
      </w:r>
      <w:r w:rsidR="00F90F1D" w:rsidRPr="00E11E6E">
        <w:rPr>
          <w:rFonts w:cs="Arial"/>
          <w:bCs/>
        </w:rPr>
        <w:t xml:space="preserve">Australian and New Zealand </w:t>
      </w:r>
      <w:r w:rsidR="00F90F1D">
        <w:rPr>
          <w:rFonts w:cs="Arial"/>
          <w:bCs/>
        </w:rPr>
        <w:t xml:space="preserve">Ministerial </w:t>
      </w:r>
      <w:r w:rsidR="00956247" w:rsidRPr="002C3DF8">
        <w:rPr>
          <w:rFonts w:cs="Arial"/>
          <w:bCs/>
        </w:rPr>
        <w:t>Forum on Food Regulation</w:t>
      </w:r>
      <w:r w:rsidR="00956247">
        <w:rPr>
          <w:rFonts w:cs="Arial"/>
          <w:bCs/>
        </w:rPr>
        <w:t xml:space="preserve"> (Forum))</w:t>
      </w:r>
      <w:r w:rsidR="00956247" w:rsidRPr="00E11E6E">
        <w:rPr>
          <w:rFonts w:cs="Arial"/>
          <w:bCs/>
        </w:rPr>
        <w:t xml:space="preserve"> </w:t>
      </w:r>
      <w:r w:rsidRPr="00E11E6E">
        <w:rPr>
          <w:rFonts w:cs="Arial"/>
          <w:bCs/>
        </w:rPr>
        <w:t xml:space="preserve">agreed to a comprehensive independent review of food labelling law and policy. An expert panel, chaired by Dr Neal Blewett, AC, undertook the review and the panel’s final report, </w:t>
      </w:r>
      <w:r w:rsidRPr="00B7149D">
        <w:rPr>
          <w:i/>
          <w:lang w:val="en-AU"/>
        </w:rPr>
        <w:t>Labelling Logic</w:t>
      </w:r>
      <w:r>
        <w:rPr>
          <w:i/>
          <w:lang w:val="en-AU"/>
        </w:rPr>
        <w:t>: Review of Food Labelling Law and Policy (2011</w:t>
      </w:r>
      <w:r w:rsidRPr="0043521C">
        <w:rPr>
          <w:i/>
          <w:lang w:val="en-AU"/>
        </w:rPr>
        <w:t>)</w:t>
      </w:r>
      <w:r w:rsidR="00AC5868" w:rsidRPr="0043521C">
        <w:rPr>
          <w:i/>
          <w:lang w:val="en-AU"/>
        </w:rPr>
        <w:t xml:space="preserve"> </w:t>
      </w:r>
      <w:r w:rsidR="00AC5868" w:rsidRPr="0043521C">
        <w:rPr>
          <w:lang w:val="en-AU"/>
        </w:rPr>
        <w:t>(Labelling Logic)</w:t>
      </w:r>
      <w:r w:rsidR="00AC5868">
        <w:rPr>
          <w:i/>
          <w:lang w:val="en-AU"/>
        </w:rPr>
        <w:t xml:space="preserve"> </w:t>
      </w:r>
      <w:r w:rsidRPr="00E11E6E">
        <w:rPr>
          <w:rFonts w:cs="Arial"/>
          <w:bCs/>
        </w:rPr>
        <w:t xml:space="preserve">was publicly released </w:t>
      </w:r>
      <w:r w:rsidR="002F22F1">
        <w:rPr>
          <w:rFonts w:cs="Arial"/>
          <w:bCs/>
        </w:rPr>
        <w:t>in</w:t>
      </w:r>
      <w:r w:rsidRPr="00E11E6E">
        <w:rPr>
          <w:rFonts w:cs="Arial"/>
          <w:bCs/>
        </w:rPr>
        <w:t xml:space="preserve"> January 2011.</w:t>
      </w:r>
    </w:p>
    <w:p w:rsidR="00C419D0" w:rsidRDefault="00C419D0" w:rsidP="00C419D0">
      <w:pPr>
        <w:rPr>
          <w:rFonts w:cs="Arial"/>
          <w:bCs/>
          <w:szCs w:val="22"/>
        </w:rPr>
      </w:pPr>
    </w:p>
    <w:p w:rsidR="00EF2E48" w:rsidRDefault="00EF2E48" w:rsidP="00EF2E48">
      <w:r>
        <w:rPr>
          <w:rFonts w:cs="Arial"/>
          <w:bCs/>
        </w:rPr>
        <w:t>Recommendation 1</w:t>
      </w:r>
      <w:r w:rsidR="00C419D0">
        <w:rPr>
          <w:rFonts w:cs="Arial"/>
          <w:bCs/>
        </w:rPr>
        <w:t xml:space="preserve">3 </w:t>
      </w:r>
      <w:r w:rsidR="00C419D0" w:rsidRPr="00FA021C">
        <w:rPr>
          <w:rFonts w:cs="Arial"/>
          <w:bCs/>
        </w:rPr>
        <w:t xml:space="preserve">in </w:t>
      </w:r>
      <w:r w:rsidR="00C419D0" w:rsidRPr="00AC5868">
        <w:rPr>
          <w:rFonts w:cs="Arial"/>
          <w:bCs/>
        </w:rPr>
        <w:t>Labelling Logic</w:t>
      </w:r>
      <w:r w:rsidR="00C419D0">
        <w:rPr>
          <w:rFonts w:cs="Arial"/>
          <w:bCs/>
          <w:szCs w:val="22"/>
        </w:rPr>
        <w:t xml:space="preserve"> </w:t>
      </w:r>
      <w:r w:rsidR="00C419D0">
        <w:t xml:space="preserve">states: </w:t>
      </w:r>
      <w:r w:rsidRPr="00B81B72">
        <w:rPr>
          <w:i/>
        </w:rPr>
        <w:t xml:space="preserve">That </w:t>
      </w:r>
      <w:r w:rsidRPr="00BB48CF">
        <w:rPr>
          <w:i/>
        </w:rPr>
        <w:t xml:space="preserve">mandatory declaration of all trans fatty acids above an agreed </w:t>
      </w:r>
      <w:r>
        <w:rPr>
          <w:i/>
        </w:rPr>
        <w:t>threshold be introduced in the n</w:t>
      </w:r>
      <w:r w:rsidRPr="00BB48CF">
        <w:rPr>
          <w:i/>
        </w:rPr>
        <w:t xml:space="preserve">utrition </w:t>
      </w:r>
      <w:r>
        <w:rPr>
          <w:i/>
        </w:rPr>
        <w:t>information p</w:t>
      </w:r>
      <w:r w:rsidRPr="00BB48CF">
        <w:rPr>
          <w:i/>
        </w:rPr>
        <w:t>anel if manufactured trans fatty acids have not been phased out of the food supply by January 2013.</w:t>
      </w:r>
      <w:r w:rsidRPr="00BB48CF">
        <w:t xml:space="preserve"> </w:t>
      </w:r>
    </w:p>
    <w:p w:rsidR="00AD7257" w:rsidRDefault="00AD7257" w:rsidP="00EF2E48"/>
    <w:p w:rsidR="001720B1" w:rsidRPr="00AD7257" w:rsidRDefault="00AD7257" w:rsidP="00AD7257">
      <w:r>
        <w:t xml:space="preserve">A number of countries have implemented regulatory and/or non-regulatory approaches to reduce </w:t>
      </w:r>
      <w:r w:rsidRPr="00E31858">
        <w:t>trans</w:t>
      </w:r>
      <w:r>
        <w:t xml:space="preserve"> fatty acids (TFAs) in the food supply, such as mandatory labelling in the USA and Canada</w:t>
      </w:r>
      <w:r w:rsidR="00ED26D5">
        <w:t xml:space="preserve"> (when TFAs are above a certain level)</w:t>
      </w:r>
      <w:r>
        <w:t xml:space="preserve">, mandatory limits on the </w:t>
      </w:r>
      <w:r w:rsidR="00903916">
        <w:t>trans fatty acid (</w:t>
      </w:r>
      <w:r>
        <w:t>TFA</w:t>
      </w:r>
      <w:r w:rsidR="00903916">
        <w:t>)</w:t>
      </w:r>
      <w:r>
        <w:t xml:space="preserve"> content of foods in Denmark and industry guidance for meeting voluntary targets</w:t>
      </w:r>
      <w:r w:rsidR="00B02F5E">
        <w:t xml:space="preserve"> on the TFA content of foods</w:t>
      </w:r>
      <w:r>
        <w:t xml:space="preserve"> in the UK. </w:t>
      </w:r>
      <w:r w:rsidR="001720B1">
        <w:rPr>
          <w:lang w:bidi="ar-SA"/>
        </w:rPr>
        <w:t>In 2003, the World Health Organisation</w:t>
      </w:r>
      <w:r w:rsidR="00F34799">
        <w:rPr>
          <w:lang w:bidi="ar-SA"/>
        </w:rPr>
        <w:t xml:space="preserve"> (WHO)</w:t>
      </w:r>
      <w:r w:rsidR="001720B1">
        <w:rPr>
          <w:lang w:bidi="ar-SA"/>
        </w:rPr>
        <w:t xml:space="preserve"> </w:t>
      </w:r>
      <w:r>
        <w:rPr>
          <w:lang w:bidi="ar-SA"/>
        </w:rPr>
        <w:t>recommended</w:t>
      </w:r>
      <w:r w:rsidR="001720B1">
        <w:rPr>
          <w:lang w:bidi="ar-SA"/>
        </w:rPr>
        <w:t xml:space="preserve"> that TFAs contribute less than 1% </w:t>
      </w:r>
      <w:r w:rsidR="000225BF">
        <w:rPr>
          <w:lang w:bidi="ar-SA"/>
        </w:rPr>
        <w:t xml:space="preserve">of </w:t>
      </w:r>
      <w:r w:rsidR="001720B1">
        <w:rPr>
          <w:lang w:bidi="ar-SA"/>
        </w:rPr>
        <w:t xml:space="preserve">dietary </w:t>
      </w:r>
      <w:r w:rsidR="000225BF">
        <w:rPr>
          <w:lang w:bidi="ar-SA"/>
        </w:rPr>
        <w:t>energy</w:t>
      </w:r>
      <w:r w:rsidR="00C0061A">
        <w:rPr>
          <w:lang w:bidi="ar-SA"/>
        </w:rPr>
        <w:t xml:space="preserve"> and in 2009 indicated that consideration should be given to the TFA intake of population subgroups that have higher intakes than the population mean</w:t>
      </w:r>
      <w:r>
        <w:rPr>
          <w:lang w:bidi="ar-SA"/>
        </w:rPr>
        <w:t>.</w:t>
      </w:r>
    </w:p>
    <w:p w:rsidR="001720B1" w:rsidRDefault="001720B1" w:rsidP="00C419D0">
      <w:pPr>
        <w:rPr>
          <w:rFonts w:cs="Arial"/>
          <w:bCs/>
          <w:i/>
          <w:szCs w:val="22"/>
        </w:rPr>
      </w:pPr>
    </w:p>
    <w:p w:rsidR="00D87F72" w:rsidRDefault="00D87F72" w:rsidP="00D87F72">
      <w:pPr>
        <w:pStyle w:val="Default"/>
        <w:rPr>
          <w:rFonts w:ascii="Arial" w:hAnsi="Arial" w:cs="Arial"/>
          <w:sz w:val="22"/>
          <w:szCs w:val="22"/>
          <w:lang w:val="en-GB"/>
        </w:rPr>
      </w:pPr>
      <w:r>
        <w:rPr>
          <w:rFonts w:ascii="Arial" w:hAnsi="Arial" w:cs="Arial"/>
          <w:sz w:val="22"/>
          <w:szCs w:val="22"/>
          <w:lang w:val="en-GB"/>
        </w:rPr>
        <w:t>I</w:t>
      </w:r>
      <w:r w:rsidRPr="0024768B">
        <w:rPr>
          <w:rFonts w:ascii="Arial" w:hAnsi="Arial" w:cs="Arial"/>
          <w:sz w:val="22"/>
          <w:szCs w:val="22"/>
          <w:lang w:val="en-GB"/>
        </w:rPr>
        <w:t>n 2011</w:t>
      </w:r>
      <w:r>
        <w:rPr>
          <w:rFonts w:ascii="Arial" w:hAnsi="Arial" w:cs="Arial"/>
          <w:sz w:val="22"/>
          <w:szCs w:val="22"/>
          <w:lang w:val="en-GB"/>
        </w:rPr>
        <w:t>,</w:t>
      </w:r>
      <w:r w:rsidRPr="0024768B">
        <w:rPr>
          <w:rFonts w:ascii="Arial" w:hAnsi="Arial" w:cs="Arial"/>
          <w:sz w:val="22"/>
          <w:szCs w:val="22"/>
          <w:lang w:val="en-GB"/>
        </w:rPr>
        <w:t xml:space="preserve"> </w:t>
      </w:r>
      <w:r>
        <w:rPr>
          <w:rFonts w:ascii="Arial" w:hAnsi="Arial" w:cs="Arial"/>
          <w:sz w:val="22"/>
          <w:szCs w:val="22"/>
          <w:lang w:val="en-GB"/>
        </w:rPr>
        <w:t>t</w:t>
      </w:r>
      <w:r w:rsidRPr="0024768B">
        <w:rPr>
          <w:rFonts w:ascii="Arial" w:hAnsi="Arial" w:cs="Arial"/>
          <w:sz w:val="22"/>
          <w:szCs w:val="22"/>
          <w:lang w:val="en-GB"/>
        </w:rPr>
        <w:t xml:space="preserve">he Forum provided a response to the </w:t>
      </w:r>
      <w:r w:rsidRPr="00B81B72">
        <w:rPr>
          <w:rFonts w:ascii="Arial" w:hAnsi="Arial" w:cs="Arial"/>
          <w:sz w:val="22"/>
          <w:szCs w:val="22"/>
          <w:lang w:val="en-GB"/>
        </w:rPr>
        <w:t>Labelling Logic</w:t>
      </w:r>
      <w:r w:rsidRPr="0024768B">
        <w:rPr>
          <w:rFonts w:ascii="Arial" w:hAnsi="Arial" w:cs="Arial"/>
          <w:sz w:val="22"/>
          <w:szCs w:val="22"/>
          <w:lang w:val="en-GB"/>
        </w:rPr>
        <w:t xml:space="preserve"> report wh</w:t>
      </w:r>
      <w:r w:rsidR="00EF2E48">
        <w:rPr>
          <w:rFonts w:ascii="Arial" w:hAnsi="Arial" w:cs="Arial"/>
          <w:sz w:val="22"/>
          <w:szCs w:val="22"/>
          <w:lang w:val="en-GB"/>
        </w:rPr>
        <w:t>ich considered Recommendation 13</w:t>
      </w:r>
      <w:r w:rsidRPr="0024768B">
        <w:rPr>
          <w:rFonts w:ascii="Arial" w:hAnsi="Arial" w:cs="Arial"/>
          <w:sz w:val="22"/>
          <w:szCs w:val="22"/>
          <w:lang w:val="en-GB"/>
        </w:rPr>
        <w:t xml:space="preserve"> in association with two other </w:t>
      </w:r>
      <w:r w:rsidRPr="00A00D5A">
        <w:rPr>
          <w:rFonts w:ascii="Arial" w:hAnsi="Arial" w:cs="Arial"/>
          <w:sz w:val="22"/>
          <w:szCs w:val="22"/>
          <w:lang w:val="en-GB"/>
        </w:rPr>
        <w:t>recommenda</w:t>
      </w:r>
      <w:r w:rsidR="00EF2E48">
        <w:rPr>
          <w:rFonts w:ascii="Arial" w:hAnsi="Arial" w:cs="Arial"/>
          <w:sz w:val="22"/>
          <w:szCs w:val="22"/>
          <w:lang w:val="en-GB"/>
        </w:rPr>
        <w:t>tions (Recommendations 12 and 14</w:t>
      </w:r>
      <w:r w:rsidRPr="00A00D5A">
        <w:rPr>
          <w:rFonts w:ascii="Arial" w:hAnsi="Arial" w:cs="Arial"/>
          <w:sz w:val="22"/>
          <w:szCs w:val="22"/>
          <w:lang w:val="en-GB"/>
        </w:rPr>
        <w:t xml:space="preserve">) also </w:t>
      </w:r>
      <w:r>
        <w:rPr>
          <w:rFonts w:ascii="Arial" w:hAnsi="Arial" w:cs="Arial"/>
          <w:sz w:val="22"/>
          <w:szCs w:val="22"/>
          <w:lang w:val="en-GB"/>
        </w:rPr>
        <w:t xml:space="preserve">relating to </w:t>
      </w:r>
      <w:r w:rsidR="00BD5199">
        <w:rPr>
          <w:rFonts w:ascii="Arial" w:hAnsi="Arial" w:cs="Arial"/>
          <w:sz w:val="22"/>
          <w:szCs w:val="22"/>
          <w:lang w:val="en-GB"/>
        </w:rPr>
        <w:t xml:space="preserve">nutrition information panel </w:t>
      </w:r>
      <w:r>
        <w:rPr>
          <w:rFonts w:ascii="Arial" w:hAnsi="Arial" w:cs="Arial"/>
          <w:sz w:val="22"/>
          <w:szCs w:val="22"/>
          <w:lang w:val="en-GB"/>
        </w:rPr>
        <w:t>declarations</w:t>
      </w:r>
      <w:r w:rsidRPr="00A00D5A">
        <w:rPr>
          <w:rFonts w:ascii="Arial" w:hAnsi="Arial" w:cs="Arial"/>
          <w:sz w:val="22"/>
          <w:szCs w:val="22"/>
          <w:lang w:val="en-GB"/>
        </w:rPr>
        <w:t xml:space="preserve"> </w:t>
      </w:r>
      <w:r>
        <w:rPr>
          <w:rFonts w:ascii="Arial" w:hAnsi="Arial" w:cs="Arial"/>
          <w:sz w:val="22"/>
          <w:szCs w:val="22"/>
          <w:lang w:val="en-GB"/>
        </w:rPr>
        <w:t>along with ingredient listing</w:t>
      </w:r>
      <w:r w:rsidRPr="00A00D5A">
        <w:rPr>
          <w:rFonts w:ascii="Arial" w:hAnsi="Arial" w:cs="Arial"/>
          <w:sz w:val="22"/>
          <w:szCs w:val="22"/>
          <w:lang w:val="en-GB"/>
        </w:rPr>
        <w:t xml:space="preserve">. </w:t>
      </w:r>
      <w:r w:rsidR="00B81B72" w:rsidRPr="00912AB3">
        <w:rPr>
          <w:rFonts w:ascii="Arial" w:hAnsi="Arial" w:cs="Arial"/>
          <w:sz w:val="22"/>
          <w:szCs w:val="22"/>
          <w:lang w:val="en-GB"/>
        </w:rPr>
        <w:t xml:space="preserve">The Forum </w:t>
      </w:r>
      <w:r w:rsidR="00B81B72">
        <w:rPr>
          <w:rFonts w:ascii="Arial" w:hAnsi="Arial" w:cs="Arial"/>
          <w:sz w:val="22"/>
          <w:szCs w:val="22"/>
          <w:lang w:val="en-GB"/>
        </w:rPr>
        <w:t>asked</w:t>
      </w:r>
      <w:r w:rsidR="00B81B72" w:rsidRPr="00912AB3">
        <w:rPr>
          <w:rFonts w:ascii="Arial" w:hAnsi="Arial" w:cs="Arial"/>
          <w:sz w:val="22"/>
          <w:szCs w:val="22"/>
        </w:rPr>
        <w:t xml:space="preserve"> FSANZ </w:t>
      </w:r>
      <w:r w:rsidR="00B81B72">
        <w:rPr>
          <w:rFonts w:ascii="Arial" w:hAnsi="Arial" w:cs="Arial"/>
          <w:sz w:val="22"/>
          <w:szCs w:val="22"/>
        </w:rPr>
        <w:t xml:space="preserve">to </w:t>
      </w:r>
      <w:r w:rsidR="00B81B72" w:rsidRPr="00912AB3">
        <w:rPr>
          <w:rFonts w:ascii="Arial" w:hAnsi="Arial" w:cs="Arial"/>
          <w:sz w:val="22"/>
          <w:szCs w:val="22"/>
        </w:rPr>
        <w:t>provide technical evaluation and advice on th</w:t>
      </w:r>
      <w:r w:rsidR="00B81B72">
        <w:rPr>
          <w:rFonts w:ascii="Arial" w:hAnsi="Arial" w:cs="Arial"/>
          <w:sz w:val="22"/>
          <w:szCs w:val="22"/>
        </w:rPr>
        <w:t>e three</w:t>
      </w:r>
      <w:r w:rsidR="00B81B72" w:rsidRPr="00912AB3">
        <w:rPr>
          <w:rFonts w:ascii="Arial" w:hAnsi="Arial" w:cs="Arial"/>
          <w:sz w:val="22"/>
          <w:szCs w:val="22"/>
        </w:rPr>
        <w:t xml:space="preserve"> proposed change</w:t>
      </w:r>
      <w:r w:rsidR="00B81B72">
        <w:rPr>
          <w:rFonts w:ascii="Arial" w:hAnsi="Arial" w:cs="Arial"/>
          <w:sz w:val="22"/>
          <w:szCs w:val="22"/>
        </w:rPr>
        <w:t>s</w:t>
      </w:r>
      <w:r w:rsidR="00B81B72" w:rsidRPr="00912AB3">
        <w:rPr>
          <w:rFonts w:ascii="Arial" w:hAnsi="Arial" w:cs="Arial"/>
          <w:sz w:val="22"/>
          <w:szCs w:val="22"/>
        </w:rPr>
        <w:t xml:space="preserve"> to the </w:t>
      </w:r>
      <w:r w:rsidR="0066613C">
        <w:rPr>
          <w:rFonts w:ascii="Arial" w:hAnsi="Arial" w:cs="Arial"/>
          <w:sz w:val="22"/>
          <w:szCs w:val="22"/>
        </w:rPr>
        <w:t>nutrition information panel</w:t>
      </w:r>
      <w:r w:rsidR="00B81B72">
        <w:rPr>
          <w:rFonts w:ascii="Arial" w:hAnsi="Arial" w:cs="Arial"/>
          <w:sz w:val="22"/>
          <w:szCs w:val="22"/>
        </w:rPr>
        <w:t xml:space="preserve"> and ingredient list together</w:t>
      </w:r>
      <w:r w:rsidR="00B81B72" w:rsidRPr="00912AB3">
        <w:rPr>
          <w:rFonts w:ascii="Arial" w:hAnsi="Arial" w:cs="Arial"/>
          <w:sz w:val="22"/>
          <w:szCs w:val="22"/>
        </w:rPr>
        <w:t xml:space="preserve">. </w:t>
      </w:r>
      <w:r w:rsidRPr="00A00D5A">
        <w:rPr>
          <w:rFonts w:ascii="Arial" w:hAnsi="Arial" w:cs="Arial"/>
          <w:sz w:val="22"/>
          <w:szCs w:val="22"/>
          <w:lang w:val="en-GB"/>
        </w:rPr>
        <w:t>However</w:t>
      </w:r>
      <w:r>
        <w:rPr>
          <w:rFonts w:ascii="Arial" w:hAnsi="Arial" w:cs="Arial"/>
          <w:sz w:val="22"/>
          <w:szCs w:val="22"/>
          <w:lang w:val="en-GB"/>
        </w:rPr>
        <w:t>,</w:t>
      </w:r>
      <w:r w:rsidRPr="00A00D5A">
        <w:rPr>
          <w:rFonts w:ascii="Arial" w:hAnsi="Arial" w:cs="Arial"/>
          <w:sz w:val="22"/>
          <w:szCs w:val="22"/>
          <w:lang w:val="en-GB"/>
        </w:rPr>
        <w:t xml:space="preserve"> </w:t>
      </w:r>
      <w:r w:rsidRPr="0024768B">
        <w:rPr>
          <w:rFonts w:ascii="Arial" w:hAnsi="Arial" w:cs="Arial"/>
          <w:sz w:val="22"/>
          <w:szCs w:val="22"/>
          <w:lang w:val="en-GB"/>
        </w:rPr>
        <w:t xml:space="preserve">FSANZ has progressed </w:t>
      </w:r>
      <w:r>
        <w:rPr>
          <w:rFonts w:ascii="Arial" w:hAnsi="Arial" w:cs="Arial"/>
          <w:sz w:val="22"/>
          <w:szCs w:val="22"/>
          <w:lang w:val="en-GB"/>
        </w:rPr>
        <w:t>its</w:t>
      </w:r>
      <w:r w:rsidRPr="0024768B">
        <w:rPr>
          <w:rFonts w:ascii="Arial" w:hAnsi="Arial" w:cs="Arial"/>
          <w:sz w:val="22"/>
          <w:szCs w:val="22"/>
          <w:lang w:val="en-GB"/>
        </w:rPr>
        <w:t xml:space="preserve"> technical evaluation and advice on </w:t>
      </w:r>
      <w:r w:rsidR="00EF2E48">
        <w:rPr>
          <w:rFonts w:ascii="Arial" w:hAnsi="Arial" w:cs="Arial"/>
          <w:sz w:val="22"/>
          <w:szCs w:val="22"/>
          <w:lang w:val="en-GB"/>
        </w:rPr>
        <w:t>each of the three recommendations separately</w:t>
      </w:r>
      <w:r>
        <w:rPr>
          <w:rFonts w:ascii="Arial" w:hAnsi="Arial" w:cs="Arial"/>
          <w:sz w:val="22"/>
          <w:szCs w:val="22"/>
          <w:lang w:val="en-GB"/>
        </w:rPr>
        <w:t>, because of</w:t>
      </w:r>
      <w:r w:rsidRPr="0024768B">
        <w:rPr>
          <w:rFonts w:ascii="Arial" w:hAnsi="Arial" w:cs="Arial"/>
          <w:sz w:val="22"/>
          <w:szCs w:val="22"/>
          <w:lang w:val="en-GB"/>
        </w:rPr>
        <w:t xml:space="preserve"> the diverse nature of the issues involved in each </w:t>
      </w:r>
      <w:r w:rsidR="00EF2E48">
        <w:rPr>
          <w:rFonts w:ascii="Arial" w:hAnsi="Arial" w:cs="Arial"/>
          <w:sz w:val="22"/>
          <w:szCs w:val="22"/>
          <w:lang w:val="en-GB"/>
        </w:rPr>
        <w:t>recommendation</w:t>
      </w:r>
      <w:r w:rsidRPr="0024768B">
        <w:rPr>
          <w:rFonts w:ascii="Arial" w:hAnsi="Arial" w:cs="Arial"/>
          <w:sz w:val="22"/>
          <w:szCs w:val="22"/>
          <w:lang w:val="en-GB"/>
        </w:rPr>
        <w:t>.</w:t>
      </w:r>
    </w:p>
    <w:p w:rsidR="00D87F72" w:rsidRDefault="00D87F72" w:rsidP="00C419D0">
      <w:pPr>
        <w:rPr>
          <w:rFonts w:cs="Arial"/>
          <w:bCs/>
          <w:szCs w:val="22"/>
        </w:rPr>
      </w:pPr>
    </w:p>
    <w:p w:rsidR="00D87F72" w:rsidRDefault="00C419D0" w:rsidP="00C419D0">
      <w:pPr>
        <w:rPr>
          <w:rFonts w:cs="Arial"/>
          <w:bCs/>
          <w:i/>
        </w:rPr>
      </w:pPr>
      <w:r>
        <w:rPr>
          <w:rFonts w:cs="Arial"/>
          <w:bCs/>
          <w:szCs w:val="22"/>
        </w:rPr>
        <w:t xml:space="preserve">In the government response to </w:t>
      </w:r>
      <w:r w:rsidR="00D87F72">
        <w:rPr>
          <w:rFonts w:cs="Arial"/>
          <w:bCs/>
          <w:szCs w:val="22"/>
        </w:rPr>
        <w:t>Recommendation 13</w:t>
      </w:r>
      <w:r w:rsidRPr="00C77588">
        <w:rPr>
          <w:rFonts w:cs="Arial"/>
          <w:bCs/>
          <w:szCs w:val="22"/>
        </w:rPr>
        <w:t>,</w:t>
      </w:r>
      <w:r>
        <w:rPr>
          <w:rFonts w:cs="Arial"/>
          <w:bCs/>
          <w:szCs w:val="22"/>
        </w:rPr>
        <w:t xml:space="preserve"> the Forum </w:t>
      </w:r>
      <w:r w:rsidR="00B43261">
        <w:rPr>
          <w:rFonts w:cs="Arial"/>
          <w:bCs/>
          <w:szCs w:val="22"/>
        </w:rPr>
        <w:t xml:space="preserve">noted that industry had already achieved a significant reduction in </w:t>
      </w:r>
      <w:r w:rsidR="00C0061A">
        <w:rPr>
          <w:rFonts w:cs="Arial"/>
          <w:bCs/>
          <w:szCs w:val="22"/>
        </w:rPr>
        <w:t>TFAs</w:t>
      </w:r>
      <w:r w:rsidR="00B43261">
        <w:rPr>
          <w:rFonts w:cs="Arial"/>
          <w:bCs/>
          <w:szCs w:val="22"/>
        </w:rPr>
        <w:t xml:space="preserve"> and that the level of TFAs in the Australian diet was well below the at-risk level. The Forum questioned whether a deadline for a complete phase out of TFAs was actually required.</w:t>
      </w:r>
    </w:p>
    <w:p w:rsidR="00EF2E48" w:rsidRDefault="00EF2E48" w:rsidP="00C419D0"/>
    <w:p w:rsidR="00B43261" w:rsidRDefault="00AC5868" w:rsidP="00B43261">
      <w:r>
        <w:t>In response to the Forum’s request for technical evaluation and advice</w:t>
      </w:r>
      <w:r w:rsidR="00C419D0">
        <w:t>, FSANZ has</w:t>
      </w:r>
      <w:r w:rsidR="00B43261">
        <w:t xml:space="preserve"> </w:t>
      </w:r>
      <w:r w:rsidR="00B43261">
        <w:rPr>
          <w:lang w:bidi="ar-SA"/>
        </w:rPr>
        <w:t>undertaken the following activities:</w:t>
      </w:r>
    </w:p>
    <w:p w:rsidR="00B43261" w:rsidRDefault="00B43261" w:rsidP="00B43261">
      <w:pPr>
        <w:rPr>
          <w:lang w:bidi="ar-SA"/>
        </w:rPr>
      </w:pPr>
    </w:p>
    <w:p w:rsidR="00B43261" w:rsidRDefault="00B43261" w:rsidP="00D66ECB">
      <w:pPr>
        <w:pStyle w:val="ListParagraph"/>
        <w:numPr>
          <w:ilvl w:val="0"/>
          <w:numId w:val="6"/>
        </w:numPr>
        <w:ind w:left="567" w:hanging="567"/>
      </w:pPr>
      <w:r>
        <w:lastRenderedPageBreak/>
        <w:t>an analytical survey, coordinated by the Implementation S</w:t>
      </w:r>
      <w:r w:rsidR="000225BF">
        <w:t xml:space="preserve">ubcommittee for Food Regulation, </w:t>
      </w:r>
      <w:r>
        <w:t>of the TFA content of New Zealand and Australian foods</w:t>
      </w:r>
    </w:p>
    <w:p w:rsidR="00B43261" w:rsidRDefault="00B43261" w:rsidP="00D66ECB">
      <w:pPr>
        <w:pStyle w:val="ListParagraph"/>
        <w:numPr>
          <w:ilvl w:val="0"/>
          <w:numId w:val="6"/>
        </w:numPr>
        <w:ind w:left="567" w:hanging="567"/>
      </w:pPr>
      <w:r>
        <w:t xml:space="preserve">an industry survey on initiatives to reduce TFAs in </w:t>
      </w:r>
      <w:r w:rsidR="00B02F5E">
        <w:t>foods</w:t>
      </w:r>
    </w:p>
    <w:p w:rsidR="00B43261" w:rsidRDefault="00B43261" w:rsidP="00D66ECB">
      <w:pPr>
        <w:pStyle w:val="ListParagraph"/>
        <w:numPr>
          <w:ilvl w:val="0"/>
          <w:numId w:val="6"/>
        </w:numPr>
        <w:ind w:left="567" w:hanging="567"/>
      </w:pPr>
      <w:r>
        <w:t xml:space="preserve">two commissioned literature reviews on the health effects of TFAs: a systematic literature review on the relationship between intake of TFAs and blood cholesterol levels and a narrative review of the relationship between TFA intake and other </w:t>
      </w:r>
      <w:r w:rsidR="00AA3440">
        <w:t xml:space="preserve">possible adverse </w:t>
      </w:r>
      <w:r>
        <w:t>outcomes including cancer and type 2 diabetes</w:t>
      </w:r>
    </w:p>
    <w:p w:rsidR="00B43261" w:rsidRDefault="00B02F5E" w:rsidP="00D66ECB">
      <w:pPr>
        <w:pStyle w:val="ListParagraph"/>
        <w:numPr>
          <w:ilvl w:val="0"/>
          <w:numId w:val="6"/>
        </w:numPr>
        <w:ind w:left="567" w:hanging="567"/>
      </w:pPr>
      <w:r>
        <w:t xml:space="preserve">a </w:t>
      </w:r>
      <w:r w:rsidR="00B43261">
        <w:t>compar</w:t>
      </w:r>
      <w:r>
        <w:t>ison of</w:t>
      </w:r>
      <w:r w:rsidR="00F34799">
        <w:t xml:space="preserve"> </w:t>
      </w:r>
      <w:r w:rsidR="00B43261">
        <w:t xml:space="preserve">current provisions in the </w:t>
      </w:r>
      <w:r w:rsidR="00467F94" w:rsidRPr="00C0061A">
        <w:rPr>
          <w:i/>
        </w:rPr>
        <w:t>Australia New Zealand Food Standards</w:t>
      </w:r>
      <w:r w:rsidR="00467F94">
        <w:t xml:space="preserve"> </w:t>
      </w:r>
      <w:r w:rsidR="00B43261" w:rsidRPr="00C0061A">
        <w:rPr>
          <w:i/>
        </w:rPr>
        <w:t>Code</w:t>
      </w:r>
      <w:r w:rsidR="00C0061A">
        <w:rPr>
          <w:i/>
        </w:rPr>
        <w:t xml:space="preserve"> </w:t>
      </w:r>
      <w:r w:rsidR="00C0061A" w:rsidRPr="00C0061A">
        <w:t>(Code</w:t>
      </w:r>
      <w:r w:rsidR="00C0061A">
        <w:rPr>
          <w:i/>
        </w:rPr>
        <w:t>)</w:t>
      </w:r>
      <w:r w:rsidR="00B43261" w:rsidRPr="00C0061A">
        <w:rPr>
          <w:i/>
        </w:rPr>
        <w:t xml:space="preserve"> </w:t>
      </w:r>
      <w:r w:rsidR="00B43261">
        <w:t>for the declaration of TFA content on food labels with those in the USA, Canada and the EU</w:t>
      </w:r>
    </w:p>
    <w:p w:rsidR="00B43261" w:rsidRDefault="00B81B72" w:rsidP="00D66ECB">
      <w:pPr>
        <w:pStyle w:val="ListParagraph"/>
        <w:numPr>
          <w:ilvl w:val="0"/>
          <w:numId w:val="6"/>
        </w:numPr>
        <w:ind w:left="567" w:hanging="567"/>
      </w:pPr>
      <w:r>
        <w:t>consideration</w:t>
      </w:r>
      <w:r w:rsidR="00B02F5E">
        <w:t xml:space="preserve"> of</w:t>
      </w:r>
      <w:r w:rsidR="00B43261">
        <w:t xml:space="preserve"> </w:t>
      </w:r>
      <w:r w:rsidR="00467F94">
        <w:t xml:space="preserve">technical </w:t>
      </w:r>
      <w:r w:rsidR="00B43261">
        <w:t>issues related to the declaration of TFA content on food labels in Australia and New Zealand, including the threshold approach.</w:t>
      </w:r>
    </w:p>
    <w:p w:rsidR="00BC1D5B" w:rsidRDefault="00BC1D5B" w:rsidP="00B43261"/>
    <w:p w:rsidR="00B43261" w:rsidRDefault="00B43261" w:rsidP="00B43261">
      <w:r>
        <w:t>The key findings are as follows:</w:t>
      </w:r>
    </w:p>
    <w:p w:rsidR="0027116A" w:rsidRDefault="0027116A" w:rsidP="0027116A"/>
    <w:p w:rsidR="0027116A" w:rsidRPr="006D4D0F" w:rsidRDefault="00FB134A" w:rsidP="0027116A">
      <w:pPr>
        <w:pStyle w:val="FSBullet"/>
      </w:pPr>
      <w:r>
        <w:t>While TFAs were detected in most product categories, t</w:t>
      </w:r>
      <w:r w:rsidR="0027116A" w:rsidRPr="006D4D0F">
        <w:t xml:space="preserve">he </w:t>
      </w:r>
      <w:r>
        <w:t xml:space="preserve">median </w:t>
      </w:r>
      <w:r w:rsidR="0027116A" w:rsidRPr="006D4D0F">
        <w:t>concentration</w:t>
      </w:r>
      <w:r>
        <w:t>s</w:t>
      </w:r>
      <w:r w:rsidR="0027116A" w:rsidRPr="006D4D0F">
        <w:t xml:space="preserve"> of TFAs in 500 foods sampled in Australia and New Zealand in 2013 </w:t>
      </w:r>
      <w:r w:rsidR="006B17BF" w:rsidRPr="006D4D0F">
        <w:t>w</w:t>
      </w:r>
      <w:r w:rsidR="006B17BF">
        <w:t>ere</w:t>
      </w:r>
      <w:r w:rsidR="006B17BF" w:rsidRPr="006D4D0F">
        <w:t xml:space="preserve"> </w:t>
      </w:r>
      <w:r w:rsidR="0027116A" w:rsidRPr="006D4D0F">
        <w:t xml:space="preserve">generally low. </w:t>
      </w:r>
      <w:r w:rsidR="004D17D5">
        <w:t>Excluding foods likely to contain ruminant TFAs, approximately 86%</w:t>
      </w:r>
      <w:r w:rsidR="0027116A" w:rsidRPr="006D4D0F">
        <w:t xml:space="preserve"> of </w:t>
      </w:r>
      <w:r w:rsidR="004D17D5">
        <w:t>the foods</w:t>
      </w:r>
      <w:r w:rsidR="0027116A" w:rsidRPr="006D4D0F">
        <w:t xml:space="preserve"> had </w:t>
      </w:r>
      <w:r w:rsidR="004D17D5">
        <w:t xml:space="preserve">TFA </w:t>
      </w:r>
      <w:r w:rsidR="0027116A" w:rsidRPr="006D4D0F">
        <w:t xml:space="preserve">concentrations </w:t>
      </w:r>
      <w:r w:rsidR="004D17D5">
        <w:t>below</w:t>
      </w:r>
      <w:r w:rsidR="0027116A" w:rsidRPr="006D4D0F">
        <w:t xml:space="preserve"> 2 g/100</w:t>
      </w:r>
      <w:r w:rsidR="004D17D5">
        <w:t xml:space="preserve"> </w:t>
      </w:r>
      <w:r w:rsidR="0027116A" w:rsidRPr="006D4D0F">
        <w:t>g fat, the limit adopted</w:t>
      </w:r>
      <w:r w:rsidR="004D17D5">
        <w:t xml:space="preserve"> for manufactured TFAs</w:t>
      </w:r>
      <w:r w:rsidR="0027116A" w:rsidRPr="006D4D0F">
        <w:t xml:space="preserve"> in Danish legislation in 2003. </w:t>
      </w:r>
    </w:p>
    <w:p w:rsidR="0027116A" w:rsidRPr="006D4D0F" w:rsidRDefault="0027116A" w:rsidP="0027116A"/>
    <w:p w:rsidR="001D2FB9" w:rsidRPr="001D2FB9" w:rsidRDefault="001D2FB9" w:rsidP="0027116A">
      <w:pPr>
        <w:pStyle w:val="FSBullet"/>
        <w:rPr>
          <w:lang w:val="en-AU"/>
        </w:rPr>
      </w:pPr>
      <w:r>
        <w:t xml:space="preserve">On the basis that the </w:t>
      </w:r>
      <w:r w:rsidR="0027116A" w:rsidRPr="006D4D0F">
        <w:t xml:space="preserve">analytical results did not show an </w:t>
      </w:r>
      <w:r w:rsidR="00FF767F">
        <w:t xml:space="preserve">increase in TFA concentrations </w:t>
      </w:r>
      <w:r w:rsidR="0027116A" w:rsidRPr="006D4D0F">
        <w:t xml:space="preserve">from previous surveys, </w:t>
      </w:r>
      <w:r>
        <w:t xml:space="preserve">dietary intake of TFAs is likely to </w:t>
      </w:r>
      <w:r w:rsidR="00FF767F">
        <w:t>remain</w:t>
      </w:r>
      <w:r>
        <w:t xml:space="preserve"> low and below the WHO recommended level of 1% dietary energy in both Australia and New Zealand</w:t>
      </w:r>
      <w:r w:rsidR="0027116A" w:rsidRPr="006D4D0F">
        <w:t xml:space="preserve">. </w:t>
      </w:r>
    </w:p>
    <w:p w:rsidR="001D2FB9" w:rsidRPr="001D2FB9" w:rsidRDefault="001D2FB9" w:rsidP="001D2FB9">
      <w:pPr>
        <w:pStyle w:val="FSBullet"/>
        <w:numPr>
          <w:ilvl w:val="0"/>
          <w:numId w:val="0"/>
        </w:numPr>
        <w:ind w:left="567"/>
        <w:rPr>
          <w:lang w:val="en-AU"/>
        </w:rPr>
      </w:pPr>
    </w:p>
    <w:p w:rsidR="0027116A" w:rsidRPr="006D4D0F" w:rsidRDefault="0027116A" w:rsidP="0027116A">
      <w:pPr>
        <w:pStyle w:val="FSBullet"/>
        <w:rPr>
          <w:lang w:val="en-AU"/>
        </w:rPr>
      </w:pPr>
      <w:r w:rsidRPr="006D4D0F">
        <w:t xml:space="preserve">Recently released data from the Australian 2011‒12 National Nutrition and Physical Activity Survey, </w:t>
      </w:r>
      <w:r w:rsidR="001D2FB9">
        <w:t>also</w:t>
      </w:r>
      <w:r w:rsidRPr="006D4D0F">
        <w:t xml:space="preserve"> suggest </w:t>
      </w:r>
      <w:r w:rsidRPr="006D4D0F">
        <w:rPr>
          <w:lang w:val="en-AU"/>
        </w:rPr>
        <w:t>TFA intake remains low, with the mean intake of all Australians 2 years and above estimated to be 1.4 g/day or 0.6% of dietary energy</w:t>
      </w:r>
      <w:r w:rsidR="00A22A17">
        <w:rPr>
          <w:lang w:val="en-AU"/>
        </w:rPr>
        <w:t xml:space="preserve">. </w:t>
      </w:r>
      <w:r w:rsidRPr="006D4D0F">
        <w:rPr>
          <w:lang w:val="en-AU"/>
        </w:rPr>
        <w:t>Dairy and meat food groups</w:t>
      </w:r>
      <w:r w:rsidR="00AA3440">
        <w:rPr>
          <w:lang w:val="en-AU"/>
        </w:rPr>
        <w:t>, together with butter</w:t>
      </w:r>
      <w:r w:rsidR="007F4136">
        <w:rPr>
          <w:lang w:val="en-AU"/>
        </w:rPr>
        <w:t>s</w:t>
      </w:r>
      <w:r w:rsidR="00554F30">
        <w:rPr>
          <w:lang w:val="en-AU"/>
        </w:rPr>
        <w:t xml:space="preserve"> and </w:t>
      </w:r>
      <w:r w:rsidR="00AA3440">
        <w:rPr>
          <w:lang w:val="en-AU"/>
        </w:rPr>
        <w:t>dairy blends,</w:t>
      </w:r>
      <w:r w:rsidR="00554F30">
        <w:rPr>
          <w:lang w:val="en-AU"/>
        </w:rPr>
        <w:t xml:space="preserve"> </w:t>
      </w:r>
      <w:r w:rsidRPr="006D4D0F">
        <w:rPr>
          <w:lang w:val="en-AU"/>
        </w:rPr>
        <w:t xml:space="preserve">contributed </w:t>
      </w:r>
      <w:r w:rsidR="00A44816">
        <w:rPr>
          <w:lang w:val="en-AU"/>
        </w:rPr>
        <w:t xml:space="preserve">more than </w:t>
      </w:r>
      <w:r w:rsidRPr="006D4D0F">
        <w:rPr>
          <w:lang w:val="en-AU"/>
        </w:rPr>
        <w:t xml:space="preserve">half of this intake, showing ruminant TFAs continue to be </w:t>
      </w:r>
      <w:r w:rsidR="00A44816">
        <w:rPr>
          <w:lang w:val="en-AU"/>
        </w:rPr>
        <w:t xml:space="preserve">the </w:t>
      </w:r>
      <w:r w:rsidRPr="006D4D0F">
        <w:rPr>
          <w:lang w:val="en-AU"/>
        </w:rPr>
        <w:t xml:space="preserve">major source of TFAs in the Australian diet. </w:t>
      </w:r>
    </w:p>
    <w:p w:rsidR="0027116A" w:rsidRPr="006D4D0F" w:rsidRDefault="0027116A" w:rsidP="0027116A">
      <w:pPr>
        <w:rPr>
          <w:lang w:val="en-AU"/>
        </w:rPr>
      </w:pPr>
    </w:p>
    <w:p w:rsidR="0027116A" w:rsidRPr="006D4D0F" w:rsidRDefault="005A5C94" w:rsidP="00A33DAB">
      <w:pPr>
        <w:pStyle w:val="FSBullet"/>
        <w:rPr>
          <w:lang w:val="en-AU"/>
        </w:rPr>
      </w:pPr>
      <w:r w:rsidRPr="006D4D0F">
        <w:t>Current estimates of the distribution of TFA intakes</w:t>
      </w:r>
      <w:r>
        <w:t xml:space="preserve"> for age/gender groups</w:t>
      </w:r>
      <w:r w:rsidRPr="006D4D0F">
        <w:t xml:space="preserve"> across the </w:t>
      </w:r>
      <w:r w:rsidR="005710DB">
        <w:t xml:space="preserve">Australian </w:t>
      </w:r>
      <w:r w:rsidRPr="006D4D0F">
        <w:t xml:space="preserve">and </w:t>
      </w:r>
      <w:r w:rsidR="005710DB">
        <w:t>New Zealand</w:t>
      </w:r>
      <w:r w:rsidRPr="006D4D0F">
        <w:t xml:space="preserve"> populations are not available. </w:t>
      </w:r>
      <w:r w:rsidR="00295588">
        <w:t xml:space="preserve">In 2009, FSANZ estimated </w:t>
      </w:r>
      <w:r w:rsidR="00295588" w:rsidRPr="006D4D0F">
        <w:t>the 95</w:t>
      </w:r>
      <w:r w:rsidR="00295588" w:rsidRPr="006D4D0F">
        <w:rPr>
          <w:vertAlign w:val="superscript"/>
        </w:rPr>
        <w:t>th</w:t>
      </w:r>
      <w:r w:rsidR="00295588" w:rsidRPr="006D4D0F">
        <w:t xml:space="preserve"> percentile for total TFA intake </w:t>
      </w:r>
      <w:r w:rsidR="00295588">
        <w:t xml:space="preserve">to be </w:t>
      </w:r>
      <w:r w:rsidR="00295588" w:rsidRPr="006D4D0F">
        <w:t>1.1% and 1.2 % of dietary energy for the Australian</w:t>
      </w:r>
      <w:r w:rsidR="00A44816">
        <w:t xml:space="preserve"> (17 years and above)</w:t>
      </w:r>
      <w:r w:rsidR="00295588" w:rsidRPr="006D4D0F">
        <w:t xml:space="preserve"> and New Zealand</w:t>
      </w:r>
      <w:r w:rsidR="00A44816">
        <w:t xml:space="preserve"> (15 years and above)</w:t>
      </w:r>
      <w:r w:rsidR="00295588" w:rsidRPr="006D4D0F">
        <w:t xml:space="preserve"> populations, respectively.</w:t>
      </w:r>
      <w:r w:rsidR="00295588">
        <w:t xml:space="preserve"> Given</w:t>
      </w:r>
      <w:r w:rsidR="0027116A" w:rsidRPr="006D4D0F">
        <w:t xml:space="preserve"> the continued low level of TFAs in foods and the recent population mean estimate of TFA intake in Australia of 0.6% of dietary energy, it is unlikely </w:t>
      </w:r>
      <w:r w:rsidR="00A33DAB" w:rsidRPr="00A33DAB">
        <w:t>there has been a large increase in TFA intakes among t</w:t>
      </w:r>
      <w:r w:rsidR="00A33DAB">
        <w:t>hose with above average intakes</w:t>
      </w:r>
      <w:r w:rsidR="0027116A" w:rsidRPr="006D4D0F">
        <w:t xml:space="preserve">. </w:t>
      </w:r>
    </w:p>
    <w:p w:rsidR="0027116A" w:rsidRPr="006D4D0F" w:rsidRDefault="0027116A" w:rsidP="0027116A">
      <w:pPr>
        <w:rPr>
          <w:lang w:val="en-AU"/>
        </w:rPr>
      </w:pPr>
    </w:p>
    <w:p w:rsidR="0027116A" w:rsidRDefault="0027116A" w:rsidP="0027116A">
      <w:pPr>
        <w:pStyle w:val="FSBullet"/>
      </w:pPr>
      <w:r w:rsidRPr="006D4D0F">
        <w:t>The 2013 FSANZ industry survey indicates that the survey respondents were generally actively maintaining a low TFA content of their foods. Some respondents were undertaking on-going work to make further reductions in TFAs. It is not possible to extrapolate the findings of the study to the food industry because of the small number of respondents and the convenience sampling approach.</w:t>
      </w:r>
    </w:p>
    <w:p w:rsidR="0027116A" w:rsidRPr="006D4D0F" w:rsidRDefault="0027116A" w:rsidP="0027116A"/>
    <w:p w:rsidR="0027116A" w:rsidRPr="006D4D0F" w:rsidRDefault="0027116A" w:rsidP="0027116A">
      <w:pPr>
        <w:pStyle w:val="FSBullet"/>
        <w:rPr>
          <w:rFonts w:asciiTheme="minorHAnsi" w:hAnsiTheme="minorHAnsi"/>
          <w:sz w:val="24"/>
        </w:rPr>
      </w:pPr>
      <w:r w:rsidRPr="006D4D0F">
        <w:t>The findings from the systematic review, incorporating new evidence published between 2010 and 2014, are consistent with previous research demonstrating a causal relationship between intake of dietary TFAs and detrimental changes in blood cholesterol levels. The review also indicated that any further reduction in TFA intakes in Australia and New Zealand may produce only minor improvements in blood cholesterol levels.</w:t>
      </w:r>
    </w:p>
    <w:p w:rsidR="0027116A" w:rsidRDefault="0027116A" w:rsidP="0027116A">
      <w:pPr>
        <w:pStyle w:val="ListParagraph"/>
        <w:ind w:left="567"/>
        <w:rPr>
          <w:rFonts w:asciiTheme="minorHAnsi" w:hAnsiTheme="minorHAnsi"/>
          <w:sz w:val="24"/>
        </w:rPr>
      </w:pPr>
    </w:p>
    <w:p w:rsidR="004A161D" w:rsidRPr="006D4D0F" w:rsidRDefault="004A161D" w:rsidP="0027116A">
      <w:pPr>
        <w:pStyle w:val="ListParagraph"/>
        <w:ind w:left="567"/>
        <w:rPr>
          <w:rFonts w:asciiTheme="minorHAnsi" w:hAnsiTheme="minorHAnsi"/>
          <w:sz w:val="24"/>
        </w:rPr>
      </w:pPr>
    </w:p>
    <w:p w:rsidR="00EB0964" w:rsidRPr="006D4D0F" w:rsidRDefault="00EB0964" w:rsidP="00A56514">
      <w:pPr>
        <w:pStyle w:val="FSBullet"/>
      </w:pPr>
      <w:r>
        <w:lastRenderedPageBreak/>
        <w:t xml:space="preserve">In 2009, FSANZ </w:t>
      </w:r>
      <w:r w:rsidR="00A44816">
        <w:t xml:space="preserve">updated its 2007 review and </w:t>
      </w:r>
      <w:r>
        <w:t xml:space="preserve">concluded that </w:t>
      </w:r>
      <w:r w:rsidR="00A44816">
        <w:t>several cohort studies showed a direct association with TFA intake and risk of cardiovascular disease. It was also found that other TFA and disease relationships were less well established and required further research before they could be accepted or refuted. The 2014 narrative review did not find any new evidence tha</w:t>
      </w:r>
      <w:r w:rsidR="00B85520">
        <w:t xml:space="preserve">t would change this conclusion. </w:t>
      </w:r>
    </w:p>
    <w:p w:rsidR="0027116A" w:rsidRPr="006D4D0F" w:rsidRDefault="0027116A" w:rsidP="0027116A"/>
    <w:p w:rsidR="0027116A" w:rsidRPr="006D4D0F" w:rsidRDefault="0027116A" w:rsidP="0027116A">
      <w:pPr>
        <w:pStyle w:val="FSBullet"/>
        <w:numPr>
          <w:ilvl w:val="0"/>
          <w:numId w:val="0"/>
        </w:numPr>
        <w:ind w:left="567" w:hanging="567"/>
      </w:pPr>
      <w:r w:rsidRPr="006D4D0F">
        <w:t>In conclusion:</w:t>
      </w:r>
    </w:p>
    <w:p w:rsidR="0027116A" w:rsidRPr="006D4D0F" w:rsidRDefault="0027116A" w:rsidP="0027116A"/>
    <w:p w:rsidR="0027116A" w:rsidRPr="006D4D0F" w:rsidRDefault="0027116A" w:rsidP="0027116A">
      <w:pPr>
        <w:pStyle w:val="FSBullet"/>
        <w:numPr>
          <w:ilvl w:val="0"/>
          <w:numId w:val="9"/>
        </w:numPr>
        <w:ind w:left="567" w:hanging="567"/>
      </w:pPr>
      <w:r w:rsidRPr="006D4D0F">
        <w:t xml:space="preserve">The low level of TFAs in the foods sampled in Australia and New Zealand, the small number of people with intakes above the WHO goal of less than 1% TFAs of dietary energy determined in 2009, and the recent estimate of mean dietary intake of total TFAs in Australia together with ruminant TFAs contributing </w:t>
      </w:r>
      <w:r w:rsidR="00E64CAC">
        <w:t>more than</w:t>
      </w:r>
      <w:r w:rsidR="00E64CAC" w:rsidRPr="006D4D0F">
        <w:t xml:space="preserve"> </w:t>
      </w:r>
      <w:r w:rsidRPr="006D4D0F">
        <w:t xml:space="preserve">half of the total TFA intake, suggest mandatory labelling is not warranted. The Code currently permits the voluntary declaration of TFA content on labels and requires TFA declaration when certain nutrition content and health claims are made. </w:t>
      </w:r>
    </w:p>
    <w:p w:rsidR="0027116A" w:rsidRPr="006D4D0F" w:rsidRDefault="0027116A" w:rsidP="0027116A">
      <w:pPr>
        <w:pStyle w:val="ListParagraph"/>
      </w:pPr>
    </w:p>
    <w:p w:rsidR="0027116A" w:rsidRPr="006D4D0F" w:rsidRDefault="0027116A" w:rsidP="0027116A">
      <w:pPr>
        <w:pStyle w:val="FSBullet"/>
      </w:pPr>
      <w:r w:rsidRPr="006D4D0F">
        <w:t>Should there be further consideration of mandating TFA declarations on food labels, the costs and benefits of a threshold labelling approach and other approaches would need to be evaluated, including any potential impacts on consumer purchase behaviour, blood cholesterol levels, product formulations and industry costs.</w:t>
      </w:r>
    </w:p>
    <w:p w:rsidR="00C365D3" w:rsidRDefault="00C365D3" w:rsidP="00B43261"/>
    <w:p w:rsidR="00C52D50" w:rsidRPr="00C52D50" w:rsidRDefault="00C52D50" w:rsidP="00C52D50"/>
    <w:p w:rsidR="00C419D0" w:rsidRDefault="00C419D0">
      <w:pPr>
        <w:widowControl/>
        <w:sectPr w:rsidR="00C419D0" w:rsidSect="00200972">
          <w:headerReference w:type="default" r:id="rId10"/>
          <w:footerReference w:type="default" r:id="rId11"/>
          <w:pgSz w:w="11906" w:h="16838" w:code="9"/>
          <w:pgMar w:top="1440" w:right="1440" w:bottom="1440" w:left="1440"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4A161D" w:rsidRDefault="00705592">
      <w:pPr>
        <w:pStyle w:val="TOC1"/>
        <w:tabs>
          <w:tab w:val="right" w:leader="dot" w:pos="9016"/>
        </w:tabs>
        <w:rPr>
          <w:rFonts w:asciiTheme="minorHAnsi" w:eastAsiaTheme="minorEastAsia" w:hAnsiTheme="minorHAnsi" w:cstheme="minorBidi"/>
          <w:b w:val="0"/>
          <w:bCs w:val="0"/>
          <w:caps w:val="0"/>
          <w:noProof/>
          <w:szCs w:val="22"/>
          <w:lang w:val="en-NZ" w:eastAsia="en-NZ" w:bidi="ar-SA"/>
        </w:rPr>
      </w:pPr>
      <w:r>
        <w:rPr>
          <w:b w:val="0"/>
          <w:bCs w:val="0"/>
          <w:caps w:val="0"/>
          <w:sz w:val="28"/>
          <w:szCs w:val="28"/>
        </w:rPr>
        <w:fldChar w:fldCharType="begin"/>
      </w:r>
      <w:r>
        <w:rPr>
          <w:b w:val="0"/>
          <w:bCs w:val="0"/>
          <w:caps w:val="0"/>
          <w:sz w:val="28"/>
          <w:szCs w:val="28"/>
        </w:rPr>
        <w:instrText xml:space="preserve"> TOC \o "1-2" \h \z \u </w:instrText>
      </w:r>
      <w:r>
        <w:rPr>
          <w:b w:val="0"/>
          <w:bCs w:val="0"/>
          <w:caps w:val="0"/>
          <w:sz w:val="28"/>
          <w:szCs w:val="28"/>
        </w:rPr>
        <w:fldChar w:fldCharType="separate"/>
      </w:r>
      <w:hyperlink w:anchor="_Toc409699743" w:history="1">
        <w:r w:rsidR="004A161D" w:rsidRPr="001A75D7">
          <w:rPr>
            <w:rStyle w:val="Hyperlink"/>
            <w:noProof/>
          </w:rPr>
          <w:t>Executive summary</w:t>
        </w:r>
        <w:r w:rsidR="004A161D">
          <w:rPr>
            <w:noProof/>
            <w:webHidden/>
          </w:rPr>
          <w:tab/>
        </w:r>
        <w:r w:rsidR="004A161D">
          <w:rPr>
            <w:noProof/>
            <w:webHidden/>
          </w:rPr>
          <w:fldChar w:fldCharType="begin"/>
        </w:r>
        <w:r w:rsidR="004A161D">
          <w:rPr>
            <w:noProof/>
            <w:webHidden/>
          </w:rPr>
          <w:instrText xml:space="preserve"> PAGEREF _Toc409699743 \h </w:instrText>
        </w:r>
        <w:r w:rsidR="004A161D">
          <w:rPr>
            <w:noProof/>
            <w:webHidden/>
          </w:rPr>
        </w:r>
        <w:r w:rsidR="004A161D">
          <w:rPr>
            <w:noProof/>
            <w:webHidden/>
          </w:rPr>
          <w:fldChar w:fldCharType="separate"/>
        </w:r>
        <w:r w:rsidR="004A161D">
          <w:rPr>
            <w:noProof/>
            <w:webHidden/>
          </w:rPr>
          <w:t>i</w:t>
        </w:r>
        <w:r w:rsidR="004A161D">
          <w:rPr>
            <w:noProof/>
            <w:webHidden/>
          </w:rPr>
          <w:fldChar w:fldCharType="end"/>
        </w:r>
      </w:hyperlink>
    </w:p>
    <w:p w:rsidR="004A161D" w:rsidRDefault="004A161D">
      <w:pPr>
        <w:pStyle w:val="TOC1"/>
        <w:tabs>
          <w:tab w:val="right" w:leader="dot" w:pos="9016"/>
        </w:tabs>
        <w:rPr>
          <w:rFonts w:asciiTheme="minorHAnsi" w:eastAsiaTheme="minorEastAsia" w:hAnsiTheme="minorHAnsi" w:cstheme="minorBidi"/>
          <w:b w:val="0"/>
          <w:bCs w:val="0"/>
          <w:caps w:val="0"/>
          <w:noProof/>
          <w:szCs w:val="22"/>
          <w:lang w:val="en-NZ" w:eastAsia="en-NZ" w:bidi="ar-SA"/>
        </w:rPr>
      </w:pPr>
      <w:hyperlink w:anchor="_Toc409699744" w:history="1">
        <w:r w:rsidRPr="001A75D7">
          <w:rPr>
            <w:rStyle w:val="Hyperlink"/>
            <w:noProof/>
          </w:rPr>
          <w:t>1</w:t>
        </w:r>
        <w:r>
          <w:rPr>
            <w:rFonts w:asciiTheme="minorHAnsi" w:eastAsiaTheme="minorEastAsia" w:hAnsiTheme="minorHAnsi" w:cstheme="minorBidi"/>
            <w:b w:val="0"/>
            <w:bCs w:val="0"/>
            <w:caps w:val="0"/>
            <w:noProof/>
            <w:szCs w:val="22"/>
            <w:lang w:val="en-NZ" w:eastAsia="en-NZ" w:bidi="ar-SA"/>
          </w:rPr>
          <w:tab/>
        </w:r>
        <w:r w:rsidRPr="001A75D7">
          <w:rPr>
            <w:rStyle w:val="Hyperlink"/>
            <w:noProof/>
          </w:rPr>
          <w:t>Introduction</w:t>
        </w:r>
        <w:r>
          <w:rPr>
            <w:noProof/>
            <w:webHidden/>
          </w:rPr>
          <w:tab/>
        </w:r>
        <w:r>
          <w:rPr>
            <w:noProof/>
            <w:webHidden/>
          </w:rPr>
          <w:fldChar w:fldCharType="begin"/>
        </w:r>
        <w:r>
          <w:rPr>
            <w:noProof/>
            <w:webHidden/>
          </w:rPr>
          <w:instrText xml:space="preserve"> PAGEREF _Toc409699744 \h </w:instrText>
        </w:r>
        <w:r>
          <w:rPr>
            <w:noProof/>
            <w:webHidden/>
          </w:rPr>
        </w:r>
        <w:r>
          <w:rPr>
            <w:noProof/>
            <w:webHidden/>
          </w:rPr>
          <w:fldChar w:fldCharType="separate"/>
        </w:r>
        <w:r>
          <w:rPr>
            <w:noProof/>
            <w:webHidden/>
          </w:rPr>
          <w:t>1</w:t>
        </w:r>
        <w:r>
          <w:rPr>
            <w:noProof/>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45" w:history="1">
        <w:r w:rsidRPr="001A75D7">
          <w:rPr>
            <w:rStyle w:val="Hyperlink"/>
          </w:rPr>
          <w:t>1.1</w:t>
        </w:r>
        <w:r>
          <w:rPr>
            <w:rFonts w:asciiTheme="minorHAnsi" w:eastAsiaTheme="minorEastAsia" w:hAnsiTheme="minorHAnsi" w:cstheme="minorBidi"/>
            <w:smallCaps w:val="0"/>
            <w:szCs w:val="22"/>
            <w:lang w:val="en-NZ" w:eastAsia="en-NZ" w:bidi="ar-SA"/>
          </w:rPr>
          <w:tab/>
        </w:r>
        <w:r w:rsidRPr="001A75D7">
          <w:rPr>
            <w:rStyle w:val="Hyperlink"/>
          </w:rPr>
          <w:t>Background to Recommendation 13 – Mandatory declaration of trans fatty acids</w:t>
        </w:r>
        <w:r>
          <w:rPr>
            <w:webHidden/>
          </w:rPr>
          <w:tab/>
        </w:r>
        <w:r>
          <w:rPr>
            <w:webHidden/>
          </w:rPr>
          <w:fldChar w:fldCharType="begin"/>
        </w:r>
        <w:r>
          <w:rPr>
            <w:webHidden/>
          </w:rPr>
          <w:instrText xml:space="preserve"> PAGEREF _Toc409699745 \h </w:instrText>
        </w:r>
        <w:r>
          <w:rPr>
            <w:webHidden/>
          </w:rPr>
        </w:r>
        <w:r>
          <w:rPr>
            <w:webHidden/>
          </w:rPr>
          <w:fldChar w:fldCharType="separate"/>
        </w:r>
        <w:r>
          <w:rPr>
            <w:webHidden/>
          </w:rPr>
          <w:t>1</w:t>
        </w:r>
        <w:r>
          <w:rPr>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46" w:history="1">
        <w:r w:rsidRPr="001A75D7">
          <w:rPr>
            <w:rStyle w:val="Hyperlink"/>
          </w:rPr>
          <w:t>1.2</w:t>
        </w:r>
        <w:r>
          <w:rPr>
            <w:rFonts w:asciiTheme="minorHAnsi" w:eastAsiaTheme="minorEastAsia" w:hAnsiTheme="minorHAnsi" w:cstheme="minorBidi"/>
            <w:smallCaps w:val="0"/>
            <w:szCs w:val="22"/>
            <w:lang w:val="en-NZ" w:eastAsia="en-NZ" w:bidi="ar-SA"/>
          </w:rPr>
          <w:tab/>
        </w:r>
        <w:r w:rsidRPr="001A75D7">
          <w:rPr>
            <w:rStyle w:val="Hyperlink"/>
          </w:rPr>
          <w:t>Government response to recommendation 13</w:t>
        </w:r>
        <w:r>
          <w:rPr>
            <w:webHidden/>
          </w:rPr>
          <w:tab/>
        </w:r>
        <w:r>
          <w:rPr>
            <w:webHidden/>
          </w:rPr>
          <w:fldChar w:fldCharType="begin"/>
        </w:r>
        <w:r>
          <w:rPr>
            <w:webHidden/>
          </w:rPr>
          <w:instrText xml:space="preserve"> PAGEREF _Toc409699746 \h </w:instrText>
        </w:r>
        <w:r>
          <w:rPr>
            <w:webHidden/>
          </w:rPr>
        </w:r>
        <w:r>
          <w:rPr>
            <w:webHidden/>
          </w:rPr>
          <w:fldChar w:fldCharType="separate"/>
        </w:r>
        <w:r>
          <w:rPr>
            <w:webHidden/>
          </w:rPr>
          <w:t>1</w:t>
        </w:r>
        <w:r>
          <w:rPr>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47" w:history="1">
        <w:r w:rsidRPr="001A75D7">
          <w:rPr>
            <w:rStyle w:val="Hyperlink"/>
          </w:rPr>
          <w:t>1.3</w:t>
        </w:r>
        <w:r>
          <w:rPr>
            <w:rFonts w:asciiTheme="minorHAnsi" w:eastAsiaTheme="minorEastAsia" w:hAnsiTheme="minorHAnsi" w:cstheme="minorBidi"/>
            <w:smallCaps w:val="0"/>
            <w:szCs w:val="22"/>
            <w:lang w:val="en-NZ" w:eastAsia="en-NZ" w:bidi="ar-SA"/>
          </w:rPr>
          <w:tab/>
        </w:r>
        <w:r w:rsidRPr="001A75D7">
          <w:rPr>
            <w:rStyle w:val="Hyperlink"/>
          </w:rPr>
          <w:t>What are trans fatty acids?</w:t>
        </w:r>
        <w:r>
          <w:rPr>
            <w:webHidden/>
          </w:rPr>
          <w:tab/>
        </w:r>
        <w:r>
          <w:rPr>
            <w:webHidden/>
          </w:rPr>
          <w:fldChar w:fldCharType="begin"/>
        </w:r>
        <w:r>
          <w:rPr>
            <w:webHidden/>
          </w:rPr>
          <w:instrText xml:space="preserve"> PAGEREF _Toc409699747 \h </w:instrText>
        </w:r>
        <w:r>
          <w:rPr>
            <w:webHidden/>
          </w:rPr>
        </w:r>
        <w:r>
          <w:rPr>
            <w:webHidden/>
          </w:rPr>
          <w:fldChar w:fldCharType="separate"/>
        </w:r>
        <w:r>
          <w:rPr>
            <w:webHidden/>
          </w:rPr>
          <w:t>1</w:t>
        </w:r>
        <w:r>
          <w:rPr>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48" w:history="1">
        <w:r w:rsidRPr="001A75D7">
          <w:rPr>
            <w:rStyle w:val="Hyperlink"/>
          </w:rPr>
          <w:t>1.4</w:t>
        </w:r>
        <w:r>
          <w:rPr>
            <w:rFonts w:asciiTheme="minorHAnsi" w:eastAsiaTheme="minorEastAsia" w:hAnsiTheme="minorHAnsi" w:cstheme="minorBidi"/>
            <w:smallCaps w:val="0"/>
            <w:szCs w:val="22"/>
            <w:lang w:val="en-NZ" w:eastAsia="en-NZ" w:bidi="ar-SA"/>
          </w:rPr>
          <w:tab/>
        </w:r>
        <w:r w:rsidRPr="001A75D7">
          <w:rPr>
            <w:rStyle w:val="Hyperlink"/>
          </w:rPr>
          <w:t>World Health Organization goals for trans</w:t>
        </w:r>
        <w:r w:rsidRPr="001A75D7">
          <w:rPr>
            <w:rStyle w:val="Hyperlink"/>
            <w:i/>
          </w:rPr>
          <w:t xml:space="preserve"> </w:t>
        </w:r>
        <w:r w:rsidRPr="001A75D7">
          <w:rPr>
            <w:rStyle w:val="Hyperlink"/>
          </w:rPr>
          <w:t>fatty acids</w:t>
        </w:r>
        <w:r>
          <w:rPr>
            <w:webHidden/>
          </w:rPr>
          <w:tab/>
        </w:r>
        <w:r>
          <w:rPr>
            <w:webHidden/>
          </w:rPr>
          <w:fldChar w:fldCharType="begin"/>
        </w:r>
        <w:r>
          <w:rPr>
            <w:webHidden/>
          </w:rPr>
          <w:instrText xml:space="preserve"> PAGEREF _Toc409699748 \h </w:instrText>
        </w:r>
        <w:r>
          <w:rPr>
            <w:webHidden/>
          </w:rPr>
        </w:r>
        <w:r>
          <w:rPr>
            <w:webHidden/>
          </w:rPr>
          <w:fldChar w:fldCharType="separate"/>
        </w:r>
        <w:r>
          <w:rPr>
            <w:webHidden/>
          </w:rPr>
          <w:t>2</w:t>
        </w:r>
        <w:r>
          <w:rPr>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49" w:history="1">
        <w:r w:rsidRPr="001A75D7">
          <w:rPr>
            <w:rStyle w:val="Hyperlink"/>
          </w:rPr>
          <w:t>1.5</w:t>
        </w:r>
        <w:r>
          <w:rPr>
            <w:rFonts w:asciiTheme="minorHAnsi" w:eastAsiaTheme="minorEastAsia" w:hAnsiTheme="minorHAnsi" w:cstheme="minorBidi"/>
            <w:smallCaps w:val="0"/>
            <w:szCs w:val="22"/>
            <w:lang w:val="en-NZ" w:eastAsia="en-NZ" w:bidi="ar-SA"/>
          </w:rPr>
          <w:tab/>
        </w:r>
        <w:r w:rsidRPr="001A75D7">
          <w:rPr>
            <w:rStyle w:val="Hyperlink"/>
          </w:rPr>
          <w:t>Previous FSANZ reviews of trans</w:t>
        </w:r>
        <w:r w:rsidRPr="001A75D7">
          <w:rPr>
            <w:rStyle w:val="Hyperlink"/>
            <w:i/>
          </w:rPr>
          <w:t xml:space="preserve"> </w:t>
        </w:r>
        <w:r w:rsidRPr="001A75D7">
          <w:rPr>
            <w:rStyle w:val="Hyperlink"/>
          </w:rPr>
          <w:t>fatty acids</w:t>
        </w:r>
        <w:r>
          <w:rPr>
            <w:webHidden/>
          </w:rPr>
          <w:tab/>
        </w:r>
        <w:r>
          <w:rPr>
            <w:webHidden/>
          </w:rPr>
          <w:fldChar w:fldCharType="begin"/>
        </w:r>
        <w:r>
          <w:rPr>
            <w:webHidden/>
          </w:rPr>
          <w:instrText xml:space="preserve"> PAGEREF _Toc409699749 \h </w:instrText>
        </w:r>
        <w:r>
          <w:rPr>
            <w:webHidden/>
          </w:rPr>
        </w:r>
        <w:r>
          <w:rPr>
            <w:webHidden/>
          </w:rPr>
          <w:fldChar w:fldCharType="separate"/>
        </w:r>
        <w:r>
          <w:rPr>
            <w:webHidden/>
          </w:rPr>
          <w:t>2</w:t>
        </w:r>
        <w:r>
          <w:rPr>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50" w:history="1">
        <w:r w:rsidRPr="001A75D7">
          <w:rPr>
            <w:rStyle w:val="Hyperlink"/>
          </w:rPr>
          <w:t>1.6</w:t>
        </w:r>
        <w:r>
          <w:rPr>
            <w:rFonts w:asciiTheme="minorHAnsi" w:eastAsiaTheme="minorEastAsia" w:hAnsiTheme="minorHAnsi" w:cstheme="minorBidi"/>
            <w:smallCaps w:val="0"/>
            <w:szCs w:val="22"/>
            <w:lang w:val="en-NZ" w:eastAsia="en-NZ" w:bidi="ar-SA"/>
          </w:rPr>
          <w:tab/>
        </w:r>
        <w:r w:rsidRPr="001A75D7">
          <w:rPr>
            <w:rStyle w:val="Hyperlink"/>
          </w:rPr>
          <w:t>International regulatory and non-regulatory approaches for reducing trans fatty acids in the food supply</w:t>
        </w:r>
        <w:r>
          <w:rPr>
            <w:webHidden/>
          </w:rPr>
          <w:tab/>
        </w:r>
        <w:r>
          <w:rPr>
            <w:webHidden/>
          </w:rPr>
          <w:fldChar w:fldCharType="begin"/>
        </w:r>
        <w:r>
          <w:rPr>
            <w:webHidden/>
          </w:rPr>
          <w:instrText xml:space="preserve"> PAGEREF _Toc409699750 \h </w:instrText>
        </w:r>
        <w:r>
          <w:rPr>
            <w:webHidden/>
          </w:rPr>
        </w:r>
        <w:r>
          <w:rPr>
            <w:webHidden/>
          </w:rPr>
          <w:fldChar w:fldCharType="separate"/>
        </w:r>
        <w:r>
          <w:rPr>
            <w:webHidden/>
          </w:rPr>
          <w:t>3</w:t>
        </w:r>
        <w:r>
          <w:rPr>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51" w:history="1">
        <w:r w:rsidRPr="001A75D7">
          <w:rPr>
            <w:rStyle w:val="Hyperlink"/>
          </w:rPr>
          <w:t>1.7</w:t>
        </w:r>
        <w:r>
          <w:rPr>
            <w:rFonts w:asciiTheme="minorHAnsi" w:eastAsiaTheme="minorEastAsia" w:hAnsiTheme="minorHAnsi" w:cstheme="minorBidi"/>
            <w:smallCaps w:val="0"/>
            <w:szCs w:val="22"/>
            <w:lang w:val="en-NZ" w:eastAsia="en-NZ" w:bidi="ar-SA"/>
          </w:rPr>
          <w:tab/>
        </w:r>
        <w:r w:rsidRPr="001A75D7">
          <w:rPr>
            <w:rStyle w:val="Hyperlink"/>
          </w:rPr>
          <w:t>Current labelling requirements in Australia and New Zealand</w:t>
        </w:r>
        <w:r>
          <w:rPr>
            <w:webHidden/>
          </w:rPr>
          <w:tab/>
        </w:r>
        <w:r>
          <w:rPr>
            <w:webHidden/>
          </w:rPr>
          <w:fldChar w:fldCharType="begin"/>
        </w:r>
        <w:r>
          <w:rPr>
            <w:webHidden/>
          </w:rPr>
          <w:instrText xml:space="preserve"> PAGEREF _Toc409699751 \h </w:instrText>
        </w:r>
        <w:r>
          <w:rPr>
            <w:webHidden/>
          </w:rPr>
        </w:r>
        <w:r>
          <w:rPr>
            <w:webHidden/>
          </w:rPr>
          <w:fldChar w:fldCharType="separate"/>
        </w:r>
        <w:r>
          <w:rPr>
            <w:webHidden/>
          </w:rPr>
          <w:t>5</w:t>
        </w:r>
        <w:r>
          <w:rPr>
            <w:webHidden/>
          </w:rPr>
          <w:fldChar w:fldCharType="end"/>
        </w:r>
      </w:hyperlink>
    </w:p>
    <w:p w:rsidR="004A161D" w:rsidRDefault="004A161D">
      <w:pPr>
        <w:pStyle w:val="TOC1"/>
        <w:tabs>
          <w:tab w:val="right" w:leader="dot" w:pos="9016"/>
        </w:tabs>
        <w:rPr>
          <w:rFonts w:asciiTheme="minorHAnsi" w:eastAsiaTheme="minorEastAsia" w:hAnsiTheme="minorHAnsi" w:cstheme="minorBidi"/>
          <w:b w:val="0"/>
          <w:bCs w:val="0"/>
          <w:caps w:val="0"/>
          <w:noProof/>
          <w:szCs w:val="22"/>
          <w:lang w:val="en-NZ" w:eastAsia="en-NZ" w:bidi="ar-SA"/>
        </w:rPr>
      </w:pPr>
      <w:hyperlink w:anchor="_Toc409699752" w:history="1">
        <w:r w:rsidRPr="001A75D7">
          <w:rPr>
            <w:rStyle w:val="Hyperlink"/>
            <w:noProof/>
          </w:rPr>
          <w:t>2</w:t>
        </w:r>
        <w:r>
          <w:rPr>
            <w:rFonts w:asciiTheme="minorHAnsi" w:eastAsiaTheme="minorEastAsia" w:hAnsiTheme="minorHAnsi" w:cstheme="minorBidi"/>
            <w:b w:val="0"/>
            <w:bCs w:val="0"/>
            <w:caps w:val="0"/>
            <w:noProof/>
            <w:szCs w:val="22"/>
            <w:lang w:val="en-NZ" w:eastAsia="en-NZ" w:bidi="ar-SA"/>
          </w:rPr>
          <w:tab/>
        </w:r>
        <w:r w:rsidRPr="001A75D7">
          <w:rPr>
            <w:rStyle w:val="Hyperlink"/>
            <w:noProof/>
          </w:rPr>
          <w:t>Project objectives and approach</w:t>
        </w:r>
        <w:r>
          <w:rPr>
            <w:noProof/>
            <w:webHidden/>
          </w:rPr>
          <w:tab/>
        </w:r>
        <w:r>
          <w:rPr>
            <w:noProof/>
            <w:webHidden/>
          </w:rPr>
          <w:fldChar w:fldCharType="begin"/>
        </w:r>
        <w:r>
          <w:rPr>
            <w:noProof/>
            <w:webHidden/>
          </w:rPr>
          <w:instrText xml:space="preserve"> PAGEREF _Toc409699752 \h </w:instrText>
        </w:r>
        <w:r>
          <w:rPr>
            <w:noProof/>
            <w:webHidden/>
          </w:rPr>
        </w:r>
        <w:r>
          <w:rPr>
            <w:noProof/>
            <w:webHidden/>
          </w:rPr>
          <w:fldChar w:fldCharType="separate"/>
        </w:r>
        <w:r>
          <w:rPr>
            <w:noProof/>
            <w:webHidden/>
          </w:rPr>
          <w:t>5</w:t>
        </w:r>
        <w:r>
          <w:rPr>
            <w:noProof/>
            <w:webHidden/>
          </w:rPr>
          <w:fldChar w:fldCharType="end"/>
        </w:r>
      </w:hyperlink>
    </w:p>
    <w:p w:rsidR="004A161D" w:rsidRDefault="004A161D">
      <w:pPr>
        <w:pStyle w:val="TOC1"/>
        <w:tabs>
          <w:tab w:val="right" w:leader="dot" w:pos="9016"/>
        </w:tabs>
        <w:rPr>
          <w:rFonts w:asciiTheme="minorHAnsi" w:eastAsiaTheme="minorEastAsia" w:hAnsiTheme="minorHAnsi" w:cstheme="minorBidi"/>
          <w:b w:val="0"/>
          <w:bCs w:val="0"/>
          <w:caps w:val="0"/>
          <w:noProof/>
          <w:szCs w:val="22"/>
          <w:lang w:val="en-NZ" w:eastAsia="en-NZ" w:bidi="ar-SA"/>
        </w:rPr>
      </w:pPr>
      <w:hyperlink w:anchor="_Toc409699753" w:history="1">
        <w:r w:rsidRPr="001A75D7">
          <w:rPr>
            <w:rStyle w:val="Hyperlink"/>
            <w:noProof/>
          </w:rPr>
          <w:t>3</w:t>
        </w:r>
        <w:r>
          <w:rPr>
            <w:rFonts w:asciiTheme="minorHAnsi" w:eastAsiaTheme="minorEastAsia" w:hAnsiTheme="minorHAnsi" w:cstheme="minorBidi"/>
            <w:b w:val="0"/>
            <w:bCs w:val="0"/>
            <w:caps w:val="0"/>
            <w:noProof/>
            <w:szCs w:val="22"/>
            <w:lang w:val="en-NZ" w:eastAsia="en-NZ" w:bidi="ar-SA"/>
          </w:rPr>
          <w:tab/>
        </w:r>
        <w:r w:rsidRPr="001A75D7">
          <w:rPr>
            <w:rStyle w:val="Hyperlink"/>
            <w:noProof/>
          </w:rPr>
          <w:t>Analysis of issues</w:t>
        </w:r>
        <w:r>
          <w:rPr>
            <w:noProof/>
            <w:webHidden/>
          </w:rPr>
          <w:tab/>
        </w:r>
        <w:r>
          <w:rPr>
            <w:noProof/>
            <w:webHidden/>
          </w:rPr>
          <w:fldChar w:fldCharType="begin"/>
        </w:r>
        <w:r>
          <w:rPr>
            <w:noProof/>
            <w:webHidden/>
          </w:rPr>
          <w:instrText xml:space="preserve"> PAGEREF _Toc409699753 \h </w:instrText>
        </w:r>
        <w:r>
          <w:rPr>
            <w:noProof/>
            <w:webHidden/>
          </w:rPr>
        </w:r>
        <w:r>
          <w:rPr>
            <w:noProof/>
            <w:webHidden/>
          </w:rPr>
          <w:fldChar w:fldCharType="separate"/>
        </w:r>
        <w:r>
          <w:rPr>
            <w:noProof/>
            <w:webHidden/>
          </w:rPr>
          <w:t>5</w:t>
        </w:r>
        <w:r>
          <w:rPr>
            <w:noProof/>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54" w:history="1">
        <w:r w:rsidRPr="001A75D7">
          <w:rPr>
            <w:rStyle w:val="Hyperlink"/>
          </w:rPr>
          <w:t>3.1</w:t>
        </w:r>
        <w:r>
          <w:rPr>
            <w:rFonts w:asciiTheme="minorHAnsi" w:eastAsiaTheme="minorEastAsia" w:hAnsiTheme="minorHAnsi" w:cstheme="minorBidi"/>
            <w:smallCaps w:val="0"/>
            <w:szCs w:val="22"/>
            <w:lang w:val="en-NZ" w:eastAsia="en-NZ" w:bidi="ar-SA"/>
          </w:rPr>
          <w:tab/>
        </w:r>
        <w:r w:rsidRPr="001A75D7">
          <w:rPr>
            <w:rStyle w:val="Hyperlink"/>
          </w:rPr>
          <w:t>Trans fatty acids in the Australian and New Zealand food supply</w:t>
        </w:r>
        <w:r>
          <w:rPr>
            <w:webHidden/>
          </w:rPr>
          <w:tab/>
        </w:r>
        <w:r>
          <w:rPr>
            <w:webHidden/>
          </w:rPr>
          <w:fldChar w:fldCharType="begin"/>
        </w:r>
        <w:r>
          <w:rPr>
            <w:webHidden/>
          </w:rPr>
          <w:instrText xml:space="preserve"> PAGEREF _Toc409699754 \h </w:instrText>
        </w:r>
        <w:r>
          <w:rPr>
            <w:webHidden/>
          </w:rPr>
        </w:r>
        <w:r>
          <w:rPr>
            <w:webHidden/>
          </w:rPr>
          <w:fldChar w:fldCharType="separate"/>
        </w:r>
        <w:r>
          <w:rPr>
            <w:webHidden/>
          </w:rPr>
          <w:t>5</w:t>
        </w:r>
        <w:r>
          <w:rPr>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55" w:history="1">
        <w:r w:rsidRPr="001A75D7">
          <w:rPr>
            <w:rStyle w:val="Hyperlink"/>
          </w:rPr>
          <w:t>3.2</w:t>
        </w:r>
        <w:r>
          <w:rPr>
            <w:rFonts w:asciiTheme="minorHAnsi" w:eastAsiaTheme="minorEastAsia" w:hAnsiTheme="minorHAnsi" w:cstheme="minorBidi"/>
            <w:smallCaps w:val="0"/>
            <w:szCs w:val="22"/>
            <w:lang w:val="en-NZ" w:eastAsia="en-NZ" w:bidi="ar-SA"/>
          </w:rPr>
          <w:tab/>
        </w:r>
        <w:r w:rsidRPr="001A75D7">
          <w:rPr>
            <w:rStyle w:val="Hyperlink"/>
          </w:rPr>
          <w:t>Dietary intake of trans fat</w:t>
        </w:r>
        <w:bookmarkStart w:id="5" w:name="_GoBack"/>
        <w:bookmarkEnd w:id="5"/>
        <w:r w:rsidRPr="001A75D7">
          <w:rPr>
            <w:rStyle w:val="Hyperlink"/>
          </w:rPr>
          <w:t>ty acids</w:t>
        </w:r>
        <w:r>
          <w:rPr>
            <w:webHidden/>
          </w:rPr>
          <w:tab/>
        </w:r>
        <w:r>
          <w:rPr>
            <w:webHidden/>
          </w:rPr>
          <w:fldChar w:fldCharType="begin"/>
        </w:r>
        <w:r>
          <w:rPr>
            <w:webHidden/>
          </w:rPr>
          <w:instrText xml:space="preserve"> PAGEREF _Toc409699755 \h </w:instrText>
        </w:r>
        <w:r>
          <w:rPr>
            <w:webHidden/>
          </w:rPr>
        </w:r>
        <w:r>
          <w:rPr>
            <w:webHidden/>
          </w:rPr>
          <w:fldChar w:fldCharType="separate"/>
        </w:r>
        <w:r>
          <w:rPr>
            <w:webHidden/>
          </w:rPr>
          <w:t>7</w:t>
        </w:r>
        <w:r>
          <w:rPr>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56" w:history="1">
        <w:r w:rsidRPr="001A75D7">
          <w:rPr>
            <w:rStyle w:val="Hyperlink"/>
          </w:rPr>
          <w:t>3.3</w:t>
        </w:r>
        <w:r>
          <w:rPr>
            <w:rFonts w:asciiTheme="minorHAnsi" w:eastAsiaTheme="minorEastAsia" w:hAnsiTheme="minorHAnsi" w:cstheme="minorBidi"/>
            <w:smallCaps w:val="0"/>
            <w:szCs w:val="22"/>
            <w:lang w:val="en-NZ" w:eastAsia="en-NZ" w:bidi="ar-SA"/>
          </w:rPr>
          <w:tab/>
        </w:r>
        <w:r w:rsidRPr="001A75D7">
          <w:rPr>
            <w:rStyle w:val="Hyperlink"/>
          </w:rPr>
          <w:t>The effect of trans fatty acids on blood cholesterol and other adverse health outcomes</w:t>
        </w:r>
        <w:r>
          <w:rPr>
            <w:webHidden/>
          </w:rPr>
          <w:tab/>
        </w:r>
        <w:r>
          <w:rPr>
            <w:webHidden/>
          </w:rPr>
          <w:fldChar w:fldCharType="begin"/>
        </w:r>
        <w:r>
          <w:rPr>
            <w:webHidden/>
          </w:rPr>
          <w:instrText xml:space="preserve"> PAGEREF _Toc409699756 \h </w:instrText>
        </w:r>
        <w:r>
          <w:rPr>
            <w:webHidden/>
          </w:rPr>
        </w:r>
        <w:r>
          <w:rPr>
            <w:webHidden/>
          </w:rPr>
          <w:fldChar w:fldCharType="separate"/>
        </w:r>
        <w:r>
          <w:rPr>
            <w:webHidden/>
          </w:rPr>
          <w:t>8</w:t>
        </w:r>
        <w:r>
          <w:rPr>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57" w:history="1">
        <w:r w:rsidRPr="001A75D7">
          <w:rPr>
            <w:rStyle w:val="Hyperlink"/>
          </w:rPr>
          <w:t>3.4</w:t>
        </w:r>
        <w:r>
          <w:rPr>
            <w:rFonts w:asciiTheme="minorHAnsi" w:eastAsiaTheme="minorEastAsia" w:hAnsiTheme="minorHAnsi" w:cstheme="minorBidi"/>
            <w:smallCaps w:val="0"/>
            <w:szCs w:val="22"/>
            <w:lang w:val="en-NZ" w:eastAsia="en-NZ" w:bidi="ar-SA"/>
          </w:rPr>
          <w:tab/>
        </w:r>
        <w:r w:rsidRPr="001A75D7">
          <w:rPr>
            <w:rStyle w:val="Hyperlink"/>
          </w:rPr>
          <w:t>Mandating the declaration of trans</w:t>
        </w:r>
        <w:r w:rsidRPr="001A75D7">
          <w:rPr>
            <w:rStyle w:val="Hyperlink"/>
            <w:i/>
          </w:rPr>
          <w:t xml:space="preserve"> </w:t>
        </w:r>
        <w:r w:rsidRPr="001A75D7">
          <w:rPr>
            <w:rStyle w:val="Hyperlink"/>
          </w:rPr>
          <w:t>fatty acids on food labels</w:t>
        </w:r>
        <w:r>
          <w:rPr>
            <w:webHidden/>
          </w:rPr>
          <w:tab/>
        </w:r>
        <w:r>
          <w:rPr>
            <w:webHidden/>
          </w:rPr>
          <w:fldChar w:fldCharType="begin"/>
        </w:r>
        <w:r>
          <w:rPr>
            <w:webHidden/>
          </w:rPr>
          <w:instrText xml:space="preserve"> PAGEREF _Toc409699757 \h </w:instrText>
        </w:r>
        <w:r>
          <w:rPr>
            <w:webHidden/>
          </w:rPr>
        </w:r>
        <w:r>
          <w:rPr>
            <w:webHidden/>
          </w:rPr>
          <w:fldChar w:fldCharType="separate"/>
        </w:r>
        <w:r>
          <w:rPr>
            <w:webHidden/>
          </w:rPr>
          <w:t>9</w:t>
        </w:r>
        <w:r>
          <w:rPr>
            <w:webHidden/>
          </w:rPr>
          <w:fldChar w:fldCharType="end"/>
        </w:r>
      </w:hyperlink>
    </w:p>
    <w:p w:rsidR="004A161D" w:rsidRDefault="004A161D">
      <w:pPr>
        <w:pStyle w:val="TOC2"/>
        <w:tabs>
          <w:tab w:val="left" w:pos="1134"/>
        </w:tabs>
        <w:rPr>
          <w:rFonts w:asciiTheme="minorHAnsi" w:eastAsiaTheme="minorEastAsia" w:hAnsiTheme="minorHAnsi" w:cstheme="minorBidi"/>
          <w:smallCaps w:val="0"/>
          <w:szCs w:val="22"/>
          <w:lang w:val="en-NZ" w:eastAsia="en-NZ" w:bidi="ar-SA"/>
        </w:rPr>
      </w:pPr>
      <w:hyperlink w:anchor="_Toc409699758" w:history="1">
        <w:r w:rsidRPr="001A75D7">
          <w:rPr>
            <w:rStyle w:val="Hyperlink"/>
          </w:rPr>
          <w:t>3.5</w:t>
        </w:r>
        <w:r>
          <w:rPr>
            <w:rFonts w:asciiTheme="minorHAnsi" w:eastAsiaTheme="minorEastAsia" w:hAnsiTheme="minorHAnsi" w:cstheme="minorBidi"/>
            <w:smallCaps w:val="0"/>
            <w:szCs w:val="22"/>
            <w:lang w:val="en-NZ" w:eastAsia="en-NZ" w:bidi="ar-SA"/>
          </w:rPr>
          <w:tab/>
        </w:r>
        <w:r w:rsidRPr="001A75D7">
          <w:rPr>
            <w:rStyle w:val="Hyperlink"/>
          </w:rPr>
          <w:t>Effectiveness of voluntary and regulatory approaches for reducing TFAs in foods</w:t>
        </w:r>
        <w:r>
          <w:rPr>
            <w:webHidden/>
          </w:rPr>
          <w:tab/>
        </w:r>
        <w:r>
          <w:rPr>
            <w:webHidden/>
          </w:rPr>
          <w:fldChar w:fldCharType="begin"/>
        </w:r>
        <w:r>
          <w:rPr>
            <w:webHidden/>
          </w:rPr>
          <w:instrText xml:space="preserve"> PAGEREF _Toc409699758 \h </w:instrText>
        </w:r>
        <w:r>
          <w:rPr>
            <w:webHidden/>
          </w:rPr>
        </w:r>
        <w:r>
          <w:rPr>
            <w:webHidden/>
          </w:rPr>
          <w:fldChar w:fldCharType="separate"/>
        </w:r>
        <w:r>
          <w:rPr>
            <w:webHidden/>
          </w:rPr>
          <w:t>11</w:t>
        </w:r>
        <w:r>
          <w:rPr>
            <w:webHidden/>
          </w:rPr>
          <w:fldChar w:fldCharType="end"/>
        </w:r>
      </w:hyperlink>
    </w:p>
    <w:p w:rsidR="004A161D" w:rsidRDefault="004A161D">
      <w:pPr>
        <w:pStyle w:val="TOC1"/>
        <w:tabs>
          <w:tab w:val="right" w:leader="dot" w:pos="9016"/>
        </w:tabs>
        <w:rPr>
          <w:rFonts w:asciiTheme="minorHAnsi" w:eastAsiaTheme="minorEastAsia" w:hAnsiTheme="minorHAnsi" w:cstheme="minorBidi"/>
          <w:b w:val="0"/>
          <w:bCs w:val="0"/>
          <w:caps w:val="0"/>
          <w:noProof/>
          <w:szCs w:val="22"/>
          <w:lang w:val="en-NZ" w:eastAsia="en-NZ" w:bidi="ar-SA"/>
        </w:rPr>
      </w:pPr>
      <w:hyperlink w:anchor="_Toc409699759" w:history="1">
        <w:r w:rsidRPr="001A75D7">
          <w:rPr>
            <w:rStyle w:val="Hyperlink"/>
            <w:noProof/>
          </w:rPr>
          <w:t>4</w:t>
        </w:r>
        <w:r>
          <w:rPr>
            <w:rFonts w:asciiTheme="minorHAnsi" w:eastAsiaTheme="minorEastAsia" w:hAnsiTheme="minorHAnsi" w:cstheme="minorBidi"/>
            <w:b w:val="0"/>
            <w:bCs w:val="0"/>
            <w:caps w:val="0"/>
            <w:noProof/>
            <w:szCs w:val="22"/>
            <w:lang w:val="en-NZ" w:eastAsia="en-NZ" w:bidi="ar-SA"/>
          </w:rPr>
          <w:tab/>
        </w:r>
        <w:r w:rsidRPr="001A75D7">
          <w:rPr>
            <w:rStyle w:val="Hyperlink"/>
            <w:noProof/>
          </w:rPr>
          <w:t>Conclusions</w:t>
        </w:r>
        <w:r>
          <w:rPr>
            <w:noProof/>
            <w:webHidden/>
          </w:rPr>
          <w:tab/>
        </w:r>
        <w:r>
          <w:rPr>
            <w:noProof/>
            <w:webHidden/>
          </w:rPr>
          <w:fldChar w:fldCharType="begin"/>
        </w:r>
        <w:r>
          <w:rPr>
            <w:noProof/>
            <w:webHidden/>
          </w:rPr>
          <w:instrText xml:space="preserve"> PAGEREF _Toc409699759 \h </w:instrText>
        </w:r>
        <w:r>
          <w:rPr>
            <w:noProof/>
            <w:webHidden/>
          </w:rPr>
        </w:r>
        <w:r>
          <w:rPr>
            <w:noProof/>
            <w:webHidden/>
          </w:rPr>
          <w:fldChar w:fldCharType="separate"/>
        </w:r>
        <w:r>
          <w:rPr>
            <w:noProof/>
            <w:webHidden/>
          </w:rPr>
          <w:t>11</w:t>
        </w:r>
        <w:r>
          <w:rPr>
            <w:noProof/>
            <w:webHidden/>
          </w:rPr>
          <w:fldChar w:fldCharType="end"/>
        </w:r>
      </w:hyperlink>
    </w:p>
    <w:p w:rsidR="004A161D" w:rsidRDefault="004A161D">
      <w:pPr>
        <w:pStyle w:val="TOC1"/>
        <w:tabs>
          <w:tab w:val="right" w:leader="dot" w:pos="9016"/>
        </w:tabs>
        <w:rPr>
          <w:rFonts w:asciiTheme="minorHAnsi" w:eastAsiaTheme="minorEastAsia" w:hAnsiTheme="minorHAnsi" w:cstheme="minorBidi"/>
          <w:b w:val="0"/>
          <w:bCs w:val="0"/>
          <w:caps w:val="0"/>
          <w:noProof/>
          <w:szCs w:val="22"/>
          <w:lang w:val="en-NZ" w:eastAsia="en-NZ" w:bidi="ar-SA"/>
        </w:rPr>
      </w:pPr>
      <w:hyperlink w:anchor="_Toc409699760" w:history="1">
        <w:r w:rsidRPr="001A75D7">
          <w:rPr>
            <w:rStyle w:val="Hyperlink"/>
            <w:noProof/>
          </w:rPr>
          <w:t>5</w:t>
        </w:r>
        <w:r>
          <w:rPr>
            <w:rFonts w:asciiTheme="minorHAnsi" w:eastAsiaTheme="minorEastAsia" w:hAnsiTheme="minorHAnsi" w:cstheme="minorBidi"/>
            <w:b w:val="0"/>
            <w:bCs w:val="0"/>
            <w:caps w:val="0"/>
            <w:noProof/>
            <w:szCs w:val="22"/>
            <w:lang w:val="en-NZ" w:eastAsia="en-NZ" w:bidi="ar-SA"/>
          </w:rPr>
          <w:tab/>
        </w:r>
        <w:r w:rsidRPr="001A75D7">
          <w:rPr>
            <w:rStyle w:val="Hyperlink"/>
            <w:noProof/>
          </w:rPr>
          <w:t>References</w:t>
        </w:r>
        <w:r>
          <w:rPr>
            <w:noProof/>
            <w:webHidden/>
          </w:rPr>
          <w:tab/>
        </w:r>
        <w:r>
          <w:rPr>
            <w:noProof/>
            <w:webHidden/>
          </w:rPr>
          <w:fldChar w:fldCharType="begin"/>
        </w:r>
        <w:r>
          <w:rPr>
            <w:noProof/>
            <w:webHidden/>
          </w:rPr>
          <w:instrText xml:space="preserve"> PAGEREF _Toc409699760 \h </w:instrText>
        </w:r>
        <w:r>
          <w:rPr>
            <w:noProof/>
            <w:webHidden/>
          </w:rPr>
        </w:r>
        <w:r>
          <w:rPr>
            <w:noProof/>
            <w:webHidden/>
          </w:rPr>
          <w:fldChar w:fldCharType="separate"/>
        </w:r>
        <w:r>
          <w:rPr>
            <w:noProof/>
            <w:webHidden/>
          </w:rPr>
          <w:t>12</w:t>
        </w:r>
        <w:r>
          <w:rPr>
            <w:noProof/>
            <w:webHidden/>
          </w:rPr>
          <w:fldChar w:fldCharType="end"/>
        </w:r>
      </w:hyperlink>
    </w:p>
    <w:p w:rsidR="004A161D" w:rsidRDefault="004A161D">
      <w:pPr>
        <w:pStyle w:val="TOC2"/>
        <w:rPr>
          <w:rFonts w:asciiTheme="minorHAnsi" w:eastAsiaTheme="minorEastAsia" w:hAnsiTheme="minorHAnsi" w:cstheme="minorBidi"/>
          <w:smallCaps w:val="0"/>
          <w:szCs w:val="22"/>
          <w:lang w:val="en-NZ" w:eastAsia="en-NZ" w:bidi="ar-SA"/>
        </w:rPr>
      </w:pPr>
      <w:hyperlink w:anchor="_Toc409699761" w:history="1">
        <w:r w:rsidRPr="001A75D7">
          <w:rPr>
            <w:rStyle w:val="Hyperlink"/>
          </w:rPr>
          <w:t>Attachment 1: International regulatory and non-regulatory approaches used for reducing trans fatty acids in the food supply</w:t>
        </w:r>
        <w:r>
          <w:rPr>
            <w:webHidden/>
          </w:rPr>
          <w:tab/>
        </w:r>
        <w:r>
          <w:rPr>
            <w:webHidden/>
          </w:rPr>
          <w:fldChar w:fldCharType="begin"/>
        </w:r>
        <w:r>
          <w:rPr>
            <w:webHidden/>
          </w:rPr>
          <w:instrText xml:space="preserve"> PAGEREF _Toc409699761 \h </w:instrText>
        </w:r>
        <w:r>
          <w:rPr>
            <w:webHidden/>
          </w:rPr>
        </w:r>
        <w:r>
          <w:rPr>
            <w:webHidden/>
          </w:rPr>
          <w:fldChar w:fldCharType="separate"/>
        </w:r>
        <w:r>
          <w:rPr>
            <w:webHidden/>
          </w:rPr>
          <w:t>15</w:t>
        </w:r>
        <w:r>
          <w:rPr>
            <w:webHidden/>
          </w:rPr>
          <w:fldChar w:fldCharType="end"/>
        </w:r>
      </w:hyperlink>
    </w:p>
    <w:p w:rsidR="004A161D" w:rsidRDefault="004A161D">
      <w:pPr>
        <w:pStyle w:val="TOC2"/>
        <w:rPr>
          <w:rFonts w:asciiTheme="minorHAnsi" w:eastAsiaTheme="minorEastAsia" w:hAnsiTheme="minorHAnsi" w:cstheme="minorBidi"/>
          <w:smallCaps w:val="0"/>
          <w:szCs w:val="22"/>
          <w:lang w:val="en-NZ" w:eastAsia="en-NZ" w:bidi="ar-SA"/>
        </w:rPr>
      </w:pPr>
      <w:hyperlink w:anchor="_Toc409699762" w:history="1">
        <w:r w:rsidRPr="001A75D7">
          <w:rPr>
            <w:rStyle w:val="Hyperlink"/>
          </w:rPr>
          <w:t>Attachment 2: Requirements for labelling of trans fatty acids in Australia/New Zealand, Canada, USA, EU, UK and from Codex Alimentarius</w:t>
        </w:r>
        <w:r>
          <w:rPr>
            <w:webHidden/>
          </w:rPr>
          <w:tab/>
        </w:r>
        <w:r>
          <w:rPr>
            <w:webHidden/>
          </w:rPr>
          <w:fldChar w:fldCharType="begin"/>
        </w:r>
        <w:r>
          <w:rPr>
            <w:webHidden/>
          </w:rPr>
          <w:instrText xml:space="preserve"> PAGEREF _Toc409699762 \h </w:instrText>
        </w:r>
        <w:r>
          <w:rPr>
            <w:webHidden/>
          </w:rPr>
        </w:r>
        <w:r>
          <w:rPr>
            <w:webHidden/>
          </w:rPr>
          <w:fldChar w:fldCharType="separate"/>
        </w:r>
        <w:r>
          <w:rPr>
            <w:webHidden/>
          </w:rPr>
          <w:t>18</w:t>
        </w:r>
        <w:r>
          <w:rPr>
            <w:webHidden/>
          </w:rPr>
          <w:fldChar w:fldCharType="end"/>
        </w:r>
      </w:hyperlink>
    </w:p>
    <w:p w:rsidR="00903895" w:rsidRDefault="00705592" w:rsidP="00903895">
      <w:pPr>
        <w:rPr>
          <w:rFonts w:cstheme="minorHAnsi"/>
          <w:b/>
          <w:bCs/>
          <w:caps/>
          <w:sz w:val="28"/>
          <w:szCs w:val="28"/>
        </w:rPr>
      </w:pPr>
      <w:r>
        <w:rPr>
          <w:rFonts w:cstheme="minorHAnsi"/>
          <w:b/>
          <w:bCs/>
          <w:caps/>
          <w:sz w:val="28"/>
          <w:szCs w:val="28"/>
        </w:rPr>
        <w:fldChar w:fldCharType="end"/>
      </w:r>
    </w:p>
    <w:p w:rsidR="00CA62C8" w:rsidRDefault="00CA62C8" w:rsidP="00CA62C8">
      <w:pPr>
        <w:rPr>
          <w:rFonts w:eastAsiaTheme="minorEastAsia"/>
          <w:b/>
        </w:rPr>
      </w:pPr>
      <w:bookmarkStart w:id="6" w:name="_Toc11735627"/>
      <w:bookmarkStart w:id="7" w:name="_Toc29883110"/>
      <w:bookmarkStart w:id="8" w:name="_Toc41906797"/>
      <w:bookmarkStart w:id="9" w:name="_Toc41907544"/>
      <w:bookmarkStart w:id="10" w:name="_Toc120358575"/>
      <w:r w:rsidRPr="006A1E0A">
        <w:rPr>
          <w:rFonts w:eastAsiaTheme="minorEastAsia"/>
          <w:b/>
        </w:rPr>
        <w:t>Supporting Documents</w:t>
      </w:r>
      <w:r w:rsidR="000A286B">
        <w:rPr>
          <w:rFonts w:eastAsiaTheme="minorEastAsia"/>
          <w:b/>
        </w:rPr>
        <w:t>:</w:t>
      </w:r>
    </w:p>
    <w:p w:rsidR="002D5B46" w:rsidRPr="000A286B" w:rsidRDefault="002D5B46" w:rsidP="00CA62C8">
      <w:pPr>
        <w:rPr>
          <w:rFonts w:eastAsiaTheme="minorEastAsia"/>
          <w:b/>
        </w:rPr>
      </w:pPr>
    </w:p>
    <w:p w:rsidR="00CA62C8" w:rsidRPr="006A1E0A" w:rsidRDefault="00CA62C8" w:rsidP="002D5B46">
      <w:pPr>
        <w:spacing w:after="60"/>
        <w:rPr>
          <w:rFonts w:eastAsiaTheme="minorEastAsia"/>
          <w:b/>
        </w:rPr>
      </w:pPr>
      <w:r w:rsidRPr="006A1E0A">
        <w:rPr>
          <w:rFonts w:eastAsiaTheme="minorEastAsia"/>
          <w:b/>
        </w:rPr>
        <w:t>Supporting Document 1:</w:t>
      </w:r>
      <w:r>
        <w:rPr>
          <w:rFonts w:eastAsiaTheme="minorEastAsia"/>
        </w:rPr>
        <w:t xml:space="preserve"> </w:t>
      </w:r>
      <w:r w:rsidR="002D5B46" w:rsidRPr="002D5B46">
        <w:rPr>
          <w:rFonts w:eastAsiaTheme="minorEastAsia"/>
        </w:rPr>
        <w:t>2013 survey of the trans fatty acid content of Australian and New Zealand foods</w:t>
      </w:r>
    </w:p>
    <w:p w:rsidR="00CA62C8" w:rsidRPr="002D5B46" w:rsidRDefault="00CA62C8" w:rsidP="002D5B46">
      <w:pPr>
        <w:spacing w:after="60"/>
      </w:pPr>
      <w:r w:rsidRPr="006A1E0A">
        <w:rPr>
          <w:rFonts w:eastAsiaTheme="minorEastAsia"/>
          <w:b/>
        </w:rPr>
        <w:t>Supporting Document 2:</w:t>
      </w:r>
      <w:r>
        <w:rPr>
          <w:rFonts w:eastAsiaTheme="minorEastAsia"/>
        </w:rPr>
        <w:t xml:space="preserve"> </w:t>
      </w:r>
      <w:r>
        <w:t xml:space="preserve">Survey of selected quick service restaurants, edible oil suppliers, packaged food manufacturers and supermarkets on initiatives to reduce </w:t>
      </w:r>
      <w:r w:rsidRPr="00E31858">
        <w:t>trans</w:t>
      </w:r>
      <w:r>
        <w:t xml:space="preserve"> fatty acids in the Australian and New Zealand food supply</w:t>
      </w:r>
    </w:p>
    <w:p w:rsidR="00CA62C8" w:rsidRDefault="00CA62C8" w:rsidP="002D5B46">
      <w:pPr>
        <w:spacing w:after="60"/>
        <w:rPr>
          <w:rFonts w:eastAsiaTheme="minorEastAsia"/>
        </w:rPr>
      </w:pPr>
      <w:r w:rsidRPr="006A1E0A">
        <w:rPr>
          <w:rFonts w:eastAsiaTheme="minorEastAsia"/>
          <w:b/>
        </w:rPr>
        <w:t>Supporting Document 3:</w:t>
      </w:r>
      <w:r>
        <w:rPr>
          <w:rFonts w:eastAsiaTheme="minorEastAsia"/>
        </w:rPr>
        <w:t xml:space="preserve"> Systematic Review of the evidence for a relationship between trans-fatty acids and blood cholesterol</w:t>
      </w:r>
    </w:p>
    <w:p w:rsidR="00CA62C8" w:rsidRDefault="00CA62C8" w:rsidP="002D5B46">
      <w:pPr>
        <w:spacing w:after="60"/>
        <w:rPr>
          <w:rFonts w:eastAsiaTheme="minorEastAsia"/>
        </w:rPr>
      </w:pPr>
      <w:r w:rsidRPr="006A1E0A">
        <w:rPr>
          <w:rFonts w:eastAsiaTheme="minorEastAsia"/>
          <w:b/>
        </w:rPr>
        <w:t>Supporting Document 4:</w:t>
      </w:r>
      <w:r>
        <w:rPr>
          <w:rFonts w:eastAsiaTheme="minorEastAsia"/>
        </w:rPr>
        <w:t xml:space="preserve"> Narrative review: The relationship between dietary trans-fatty acids and adverse health outcomes</w:t>
      </w:r>
    </w:p>
    <w:p w:rsidR="004A161D" w:rsidRPr="002D4E48" w:rsidRDefault="004A161D" w:rsidP="002D5B46">
      <w:pPr>
        <w:spacing w:after="60"/>
        <w:rPr>
          <w:rFonts w:eastAsiaTheme="minorEastAsia"/>
        </w:rPr>
      </w:pPr>
    </w:p>
    <w:p w:rsidR="00200972" w:rsidRDefault="00200972">
      <w:pPr>
        <w:widowControl/>
        <w:sectPr w:rsidR="00200972" w:rsidSect="00200972">
          <w:footerReference w:type="default" r:id="rId12"/>
          <w:pgSz w:w="11906" w:h="16838" w:code="9"/>
          <w:pgMar w:top="1440" w:right="1440" w:bottom="1440" w:left="1440" w:header="709" w:footer="709" w:gutter="0"/>
          <w:pgNumType w:fmt="lowerRoman" w:start="1"/>
          <w:cols w:space="708"/>
          <w:docGrid w:linePitch="360"/>
        </w:sectPr>
      </w:pPr>
    </w:p>
    <w:p w:rsidR="000962F2" w:rsidRPr="008C592C" w:rsidRDefault="005B36FD" w:rsidP="005B36FD">
      <w:pPr>
        <w:pStyle w:val="Heading1"/>
        <w:ind w:left="0" w:firstLine="0"/>
      </w:pPr>
      <w:bookmarkStart w:id="11" w:name="_Toc378157295"/>
      <w:bookmarkStart w:id="12" w:name="_Toc409699744"/>
      <w:r>
        <w:lastRenderedPageBreak/>
        <w:t>1</w:t>
      </w:r>
      <w:r w:rsidR="00AC428E" w:rsidRPr="00AF397D">
        <w:tab/>
      </w:r>
      <w:r w:rsidR="00AF397D" w:rsidRPr="00AF397D">
        <w:t>Introduction</w:t>
      </w:r>
      <w:bookmarkEnd w:id="11"/>
      <w:bookmarkEnd w:id="12"/>
    </w:p>
    <w:p w:rsidR="008C592C" w:rsidRPr="00A02793" w:rsidRDefault="005B36FD" w:rsidP="00A02793">
      <w:pPr>
        <w:pStyle w:val="Heading2"/>
      </w:pPr>
      <w:bookmarkStart w:id="13" w:name="_Toc378157296"/>
      <w:bookmarkStart w:id="14" w:name="_Toc409699745"/>
      <w:r>
        <w:t>1</w:t>
      </w:r>
      <w:r w:rsidR="00AF397D" w:rsidRPr="008C592C">
        <w:t>.</w:t>
      </w:r>
      <w:r w:rsidR="008C592C">
        <w:t>1</w:t>
      </w:r>
      <w:r w:rsidR="00AF397D" w:rsidRPr="008C592C">
        <w:tab/>
      </w:r>
      <w:r w:rsidR="0056096A">
        <w:t xml:space="preserve">Background to </w:t>
      </w:r>
      <w:r w:rsidR="004E4F85" w:rsidRPr="008C592C">
        <w:t>Recommendation</w:t>
      </w:r>
      <w:r w:rsidR="00666470" w:rsidRPr="008C592C">
        <w:t xml:space="preserve"> </w:t>
      </w:r>
      <w:r w:rsidR="00D87F72">
        <w:t xml:space="preserve">13 </w:t>
      </w:r>
      <w:r w:rsidR="00BE3B59">
        <w:t xml:space="preserve">– </w:t>
      </w:r>
      <w:bookmarkEnd w:id="13"/>
      <w:r w:rsidR="00D87F72">
        <w:t xml:space="preserve">Mandatory declaration of </w:t>
      </w:r>
      <w:r w:rsidR="00D87F72" w:rsidRPr="00903916">
        <w:t xml:space="preserve">trans </w:t>
      </w:r>
      <w:r w:rsidR="00D87F72">
        <w:t>fatty acids</w:t>
      </w:r>
      <w:bookmarkEnd w:id="14"/>
    </w:p>
    <w:p w:rsidR="0050403D" w:rsidRDefault="0050403D" w:rsidP="0050403D">
      <w:pPr>
        <w:autoSpaceDE w:val="0"/>
        <w:autoSpaceDN w:val="0"/>
        <w:adjustRightInd w:val="0"/>
        <w:rPr>
          <w:rFonts w:cs="Arial"/>
          <w:bCs/>
        </w:rPr>
      </w:pPr>
      <w:r w:rsidRPr="00E11E6E">
        <w:rPr>
          <w:rFonts w:cs="Arial"/>
          <w:bCs/>
        </w:rPr>
        <w:t xml:space="preserve">In 2009, </w:t>
      </w:r>
      <w:r w:rsidR="00E00921">
        <w:rPr>
          <w:rFonts w:cs="Arial"/>
          <w:bCs/>
        </w:rPr>
        <w:t xml:space="preserve">the then </w:t>
      </w:r>
      <w:r w:rsidR="00E00921" w:rsidRPr="00E11E6E">
        <w:rPr>
          <w:rFonts w:cs="Arial"/>
          <w:bCs/>
        </w:rPr>
        <w:t xml:space="preserve">Australian and New Zealand </w:t>
      </w:r>
      <w:r w:rsidR="00E00921">
        <w:rPr>
          <w:rFonts w:cs="Arial"/>
          <w:bCs/>
        </w:rPr>
        <w:t>Ministerial Council for Food Regulation</w:t>
      </w:r>
      <w:r w:rsidR="00E25E09">
        <w:rPr>
          <w:rFonts w:cs="Arial"/>
          <w:bCs/>
        </w:rPr>
        <w:t xml:space="preserve"> (Ministerial Council)</w:t>
      </w:r>
      <w:r w:rsidR="00E00921">
        <w:rPr>
          <w:rFonts w:cs="Arial"/>
          <w:bCs/>
        </w:rPr>
        <w:t xml:space="preserve"> </w:t>
      </w:r>
      <w:r>
        <w:rPr>
          <w:rFonts w:cs="Arial"/>
          <w:bCs/>
        </w:rPr>
        <w:t xml:space="preserve">(now known as the </w:t>
      </w:r>
      <w:r w:rsidR="00627D32" w:rsidRPr="00E11E6E">
        <w:rPr>
          <w:rFonts w:cs="Arial"/>
          <w:bCs/>
        </w:rPr>
        <w:t xml:space="preserve">Australian and New Zealand </w:t>
      </w:r>
      <w:r w:rsidR="00627D32">
        <w:rPr>
          <w:rFonts w:cs="Arial"/>
          <w:bCs/>
        </w:rPr>
        <w:t xml:space="preserve">Ministerial </w:t>
      </w:r>
      <w:r w:rsidRPr="002C3DF8">
        <w:rPr>
          <w:rFonts w:cs="Arial"/>
          <w:bCs/>
        </w:rPr>
        <w:t>Forum on Food Regulation</w:t>
      </w:r>
      <w:r>
        <w:rPr>
          <w:rFonts w:cs="Arial"/>
          <w:bCs/>
        </w:rPr>
        <w:t xml:space="preserve"> (Forum))</w:t>
      </w:r>
      <w:r w:rsidRPr="00E11E6E">
        <w:rPr>
          <w:rFonts w:cs="Arial"/>
          <w:bCs/>
        </w:rPr>
        <w:t xml:space="preserve"> agreed to a comprehensive independent review of food labelling law and policy. An expert panel, chaired by Dr Neal Blewett, AC, undertook the review and the panel’s final report, </w:t>
      </w:r>
      <w:r w:rsidRPr="00B7149D">
        <w:rPr>
          <w:i/>
          <w:lang w:val="en-AU"/>
        </w:rPr>
        <w:t>Labelling Logic</w:t>
      </w:r>
      <w:r>
        <w:rPr>
          <w:i/>
          <w:lang w:val="en-AU"/>
        </w:rPr>
        <w:t>: Review of Food Labelling Law and Policy (2011)</w:t>
      </w:r>
      <w:r w:rsidR="00F47EB1">
        <w:rPr>
          <w:i/>
          <w:lang w:val="en-AU"/>
        </w:rPr>
        <w:t xml:space="preserve"> </w:t>
      </w:r>
      <w:r w:rsidR="008B36A1" w:rsidRPr="008B36A1">
        <w:rPr>
          <w:lang w:val="en-AU"/>
        </w:rPr>
        <w:t>(</w:t>
      </w:r>
      <w:r w:rsidR="008B36A1" w:rsidRPr="008B36A1">
        <w:t>Labelling Logic</w:t>
      </w:r>
      <w:r w:rsidR="008B36A1">
        <w:t xml:space="preserve">) </w:t>
      </w:r>
      <w:r w:rsidR="00F47EB1">
        <w:rPr>
          <w:lang w:val="en-AU"/>
        </w:rPr>
        <w:t>(Blewett et al</w:t>
      </w:r>
      <w:r w:rsidR="00E00921">
        <w:rPr>
          <w:lang w:val="en-AU"/>
        </w:rPr>
        <w:t>.</w:t>
      </w:r>
      <w:r w:rsidR="00F47EB1">
        <w:rPr>
          <w:lang w:val="en-AU"/>
        </w:rPr>
        <w:t xml:space="preserve"> 2011)</w:t>
      </w:r>
      <w:r>
        <w:rPr>
          <w:lang w:val="en-AU"/>
        </w:rPr>
        <w:t xml:space="preserve">, </w:t>
      </w:r>
      <w:r w:rsidRPr="00E11E6E">
        <w:rPr>
          <w:rFonts w:cs="Arial"/>
          <w:bCs/>
        </w:rPr>
        <w:t>was publicly released on 28 January 2011.</w:t>
      </w:r>
      <w:r w:rsidR="00E00921">
        <w:rPr>
          <w:rFonts w:cs="Arial"/>
          <w:bCs/>
        </w:rPr>
        <w:t xml:space="preserve"> </w:t>
      </w:r>
    </w:p>
    <w:p w:rsidR="0050403D" w:rsidRDefault="0050403D" w:rsidP="008C592C">
      <w:pPr>
        <w:rPr>
          <w:rFonts w:cs="Arial"/>
          <w:bCs/>
          <w:szCs w:val="22"/>
        </w:rPr>
      </w:pPr>
    </w:p>
    <w:p w:rsidR="000C0AFE" w:rsidRPr="00EF2E48" w:rsidRDefault="00D87F72" w:rsidP="008C592C">
      <w:r>
        <w:rPr>
          <w:rFonts w:cs="Arial"/>
          <w:bCs/>
          <w:szCs w:val="22"/>
        </w:rPr>
        <w:t>Recommendation 1</w:t>
      </w:r>
      <w:r w:rsidR="008C592C">
        <w:rPr>
          <w:rFonts w:cs="Arial"/>
          <w:bCs/>
          <w:szCs w:val="22"/>
        </w:rPr>
        <w:t xml:space="preserve">3 from </w:t>
      </w:r>
      <w:r w:rsidR="008C592C" w:rsidRPr="008B36A1">
        <w:t>Labelling Logic</w:t>
      </w:r>
      <w:r w:rsidR="008C592C">
        <w:t xml:space="preserve"> states: </w:t>
      </w:r>
      <w:r>
        <w:t xml:space="preserve">That </w:t>
      </w:r>
      <w:r w:rsidRPr="00BB48CF">
        <w:rPr>
          <w:i/>
        </w:rPr>
        <w:t xml:space="preserve">mandatory declaration of all trans fatty acids above an agreed </w:t>
      </w:r>
      <w:r>
        <w:rPr>
          <w:i/>
        </w:rPr>
        <w:t>threshold be introduced in the n</w:t>
      </w:r>
      <w:r w:rsidRPr="00BB48CF">
        <w:rPr>
          <w:i/>
        </w:rPr>
        <w:t xml:space="preserve">utrition </w:t>
      </w:r>
      <w:r>
        <w:rPr>
          <w:i/>
        </w:rPr>
        <w:t>information p</w:t>
      </w:r>
      <w:r w:rsidRPr="00BB48CF">
        <w:rPr>
          <w:i/>
        </w:rPr>
        <w:t>anel if manufactured trans fatty acids have not been phased out of the food supply by January 2013.</w:t>
      </w:r>
      <w:r w:rsidRPr="00BB48CF">
        <w:t xml:space="preserve"> </w:t>
      </w:r>
    </w:p>
    <w:p w:rsidR="00A413EA" w:rsidRPr="007E4CE1" w:rsidRDefault="005B36FD" w:rsidP="007E4CE1">
      <w:pPr>
        <w:pStyle w:val="Heading2"/>
      </w:pPr>
      <w:bookmarkStart w:id="15" w:name="_Toc378157297"/>
      <w:bookmarkStart w:id="16" w:name="_Toc409699746"/>
      <w:r>
        <w:t>1</w:t>
      </w:r>
      <w:r w:rsidR="004E4F85" w:rsidRPr="008C592C">
        <w:t>.</w:t>
      </w:r>
      <w:r w:rsidR="008C592C">
        <w:t>2</w:t>
      </w:r>
      <w:r w:rsidR="00AF397D" w:rsidRPr="008C592C">
        <w:tab/>
      </w:r>
      <w:r w:rsidR="00DF3759">
        <w:t>Government r</w:t>
      </w:r>
      <w:r w:rsidR="00544AC6">
        <w:t>esponse to r</w:t>
      </w:r>
      <w:r w:rsidR="001E25BB" w:rsidRPr="008C592C">
        <w:t>ecommendation</w:t>
      </w:r>
      <w:r w:rsidR="00367EA8" w:rsidRPr="008C592C">
        <w:t xml:space="preserve"> </w:t>
      </w:r>
      <w:r w:rsidR="004634F4">
        <w:t>1</w:t>
      </w:r>
      <w:r w:rsidR="008C592C">
        <w:t>3</w:t>
      </w:r>
      <w:bookmarkEnd w:id="15"/>
      <w:bookmarkEnd w:id="16"/>
    </w:p>
    <w:p w:rsidR="007E4CE1" w:rsidRDefault="007E4CE1" w:rsidP="007E4CE1">
      <w:r>
        <w:t xml:space="preserve">The government response to </w:t>
      </w:r>
      <w:r w:rsidRPr="001A08DE">
        <w:rPr>
          <w:i/>
        </w:rPr>
        <w:t>Labelling Logi</w:t>
      </w:r>
      <w:r>
        <w:rPr>
          <w:i/>
        </w:rPr>
        <w:t>c</w:t>
      </w:r>
      <w:r>
        <w:rPr>
          <w:rStyle w:val="FootnoteReference"/>
          <w:rFonts w:cs="Arial"/>
          <w:bCs/>
        </w:rPr>
        <w:footnoteReference w:id="1"/>
      </w:r>
      <w:r>
        <w:t xml:space="preserve"> considered Recommendation 13</w:t>
      </w:r>
      <w:r w:rsidRPr="0024768B">
        <w:t xml:space="preserve"> in association with two other recommendations (Recommendations 12</w:t>
      </w:r>
      <w:r>
        <w:rPr>
          <w:rStyle w:val="FootnoteReference"/>
        </w:rPr>
        <w:footnoteReference w:id="2"/>
      </w:r>
      <w:r>
        <w:t xml:space="preserve"> and 14</w:t>
      </w:r>
      <w:r>
        <w:rPr>
          <w:rStyle w:val="FootnoteReference"/>
        </w:rPr>
        <w:footnoteReference w:id="3"/>
      </w:r>
      <w:r w:rsidRPr="0024768B">
        <w:t>)</w:t>
      </w:r>
      <w:r>
        <w:t>.</w:t>
      </w:r>
      <w:r w:rsidRPr="0024768B">
        <w:t xml:space="preserve"> For the </w:t>
      </w:r>
      <w:r>
        <w:t xml:space="preserve">three </w:t>
      </w:r>
      <w:r w:rsidRPr="0024768B">
        <w:t xml:space="preserve">recommendations, the Forum noted that the proposed changes to labelling requirements are very technical in nature and, as such, require further work to fully investigate and characterise the issues involved. </w:t>
      </w:r>
    </w:p>
    <w:p w:rsidR="007E4CE1" w:rsidRDefault="007E4CE1" w:rsidP="007E4CE1"/>
    <w:p w:rsidR="007E4CE1" w:rsidRPr="00A367A4" w:rsidRDefault="007E4CE1" w:rsidP="007E4CE1">
      <w:r w:rsidRPr="0089016C">
        <w:t xml:space="preserve">FSANZ </w:t>
      </w:r>
      <w:r>
        <w:t xml:space="preserve">was asked by the Forum </w:t>
      </w:r>
      <w:r w:rsidRPr="0089016C">
        <w:t xml:space="preserve">to undertake a technical evaluation and provide advice on the proposed changes to the ingredient listing and </w:t>
      </w:r>
      <w:r w:rsidR="00F56BA8">
        <w:t>nutrition information panel (</w:t>
      </w:r>
      <w:r w:rsidRPr="0089016C">
        <w:t>NIP</w:t>
      </w:r>
      <w:r w:rsidR="00F56BA8">
        <w:t>)</w:t>
      </w:r>
      <w:r w:rsidR="00373CA0">
        <w:t xml:space="preserve"> for the three recommendations</w:t>
      </w:r>
      <w:r>
        <w:t>. The Forum noted that this a</w:t>
      </w:r>
      <w:r w:rsidRPr="0043243A">
        <w:t xml:space="preserve">dvice will assist </w:t>
      </w:r>
      <w:r>
        <w:t xml:space="preserve">them </w:t>
      </w:r>
      <w:r w:rsidRPr="0043243A">
        <w:t xml:space="preserve">to fully consider the expected benefits and cumulative impacts of possible </w:t>
      </w:r>
      <w:r w:rsidRPr="006D12F7">
        <w:t xml:space="preserve">changes to labelling requirements </w:t>
      </w:r>
      <w:r w:rsidR="00ED26D5">
        <w:t>before</w:t>
      </w:r>
      <w:r w:rsidRPr="006D12F7">
        <w:t xml:space="preserve"> considering any amendments to the </w:t>
      </w:r>
      <w:r w:rsidRPr="007E4CE1">
        <w:rPr>
          <w:i/>
        </w:rPr>
        <w:t>Australia New Zealand Food Standards Code</w:t>
      </w:r>
      <w:r>
        <w:t xml:space="preserve"> (Code)</w:t>
      </w:r>
      <w:r w:rsidRPr="006D12F7">
        <w:t xml:space="preserve">. </w:t>
      </w:r>
      <w:r w:rsidR="00F56BA8" w:rsidRPr="00A00D5A">
        <w:rPr>
          <w:rFonts w:cs="Arial"/>
          <w:szCs w:val="22"/>
        </w:rPr>
        <w:t>However</w:t>
      </w:r>
      <w:r w:rsidR="00F56BA8">
        <w:rPr>
          <w:rFonts w:cs="Arial"/>
          <w:szCs w:val="22"/>
        </w:rPr>
        <w:t>,</w:t>
      </w:r>
      <w:r w:rsidR="00F56BA8" w:rsidRPr="00A00D5A">
        <w:rPr>
          <w:rFonts w:cs="Arial"/>
          <w:szCs w:val="22"/>
        </w:rPr>
        <w:t xml:space="preserve"> </w:t>
      </w:r>
      <w:r w:rsidR="00F56BA8" w:rsidRPr="0024768B">
        <w:rPr>
          <w:rFonts w:cs="Arial"/>
          <w:szCs w:val="22"/>
        </w:rPr>
        <w:t xml:space="preserve">FSANZ has progressed </w:t>
      </w:r>
      <w:r w:rsidR="00F56BA8">
        <w:rPr>
          <w:rFonts w:cs="Arial"/>
          <w:szCs w:val="22"/>
        </w:rPr>
        <w:t>its</w:t>
      </w:r>
      <w:r w:rsidR="00F56BA8" w:rsidRPr="0024768B">
        <w:rPr>
          <w:rFonts w:cs="Arial"/>
          <w:szCs w:val="22"/>
        </w:rPr>
        <w:t xml:space="preserve"> technical evaluation and advice on </w:t>
      </w:r>
      <w:r w:rsidR="00F56BA8">
        <w:rPr>
          <w:rFonts w:cs="Arial"/>
          <w:szCs w:val="22"/>
        </w:rPr>
        <w:t>each of the three recommendations separately, because of</w:t>
      </w:r>
      <w:r w:rsidR="00F56BA8" w:rsidRPr="0024768B">
        <w:rPr>
          <w:rFonts w:cs="Arial"/>
          <w:szCs w:val="22"/>
        </w:rPr>
        <w:t xml:space="preserve"> the diverse nature of the specific issues involved in each </w:t>
      </w:r>
      <w:r w:rsidR="00F56BA8">
        <w:rPr>
          <w:rFonts w:cs="Arial"/>
          <w:szCs w:val="22"/>
        </w:rPr>
        <w:t>recommendation</w:t>
      </w:r>
      <w:r w:rsidR="00F56BA8" w:rsidRPr="0024768B">
        <w:rPr>
          <w:rFonts w:cs="Arial"/>
          <w:szCs w:val="22"/>
        </w:rPr>
        <w:t>.</w:t>
      </w:r>
    </w:p>
    <w:p w:rsidR="007E4CE1" w:rsidRDefault="007E4CE1" w:rsidP="007E4CE1">
      <w:pPr>
        <w:pStyle w:val="Default"/>
        <w:rPr>
          <w:rFonts w:ascii="Arial" w:hAnsi="Arial" w:cs="Arial"/>
          <w:sz w:val="22"/>
          <w:szCs w:val="22"/>
        </w:rPr>
      </w:pPr>
    </w:p>
    <w:p w:rsidR="007E4CE1" w:rsidRPr="007E4CE1" w:rsidRDefault="00373CA0" w:rsidP="007E4CE1">
      <w:pPr>
        <w:pStyle w:val="Default"/>
        <w:rPr>
          <w:rFonts w:ascii="Arial" w:hAnsi="Arial" w:cs="Arial"/>
          <w:sz w:val="22"/>
          <w:szCs w:val="22"/>
        </w:rPr>
      </w:pPr>
      <w:r>
        <w:rPr>
          <w:rFonts w:ascii="Arial" w:hAnsi="Arial" w:cs="Arial"/>
          <w:sz w:val="22"/>
          <w:szCs w:val="22"/>
        </w:rPr>
        <w:t>Specifically in relation to R</w:t>
      </w:r>
      <w:r w:rsidR="00F56BA8">
        <w:rPr>
          <w:rFonts w:ascii="Arial" w:hAnsi="Arial" w:cs="Arial"/>
          <w:sz w:val="22"/>
          <w:szCs w:val="22"/>
        </w:rPr>
        <w:t xml:space="preserve">ecommendation 13, </w:t>
      </w:r>
      <w:r>
        <w:rPr>
          <w:rFonts w:ascii="Arial" w:hAnsi="Arial" w:cs="Arial"/>
          <w:sz w:val="22"/>
          <w:szCs w:val="22"/>
        </w:rPr>
        <w:t>t</w:t>
      </w:r>
      <w:r w:rsidR="007E4CE1" w:rsidRPr="00A53908">
        <w:rPr>
          <w:rFonts w:ascii="Arial" w:hAnsi="Arial" w:cs="Arial"/>
          <w:sz w:val="22"/>
          <w:szCs w:val="22"/>
        </w:rPr>
        <w:t>he Forum</w:t>
      </w:r>
      <w:r w:rsidR="007E4CE1">
        <w:rPr>
          <w:rFonts w:ascii="Arial" w:hAnsi="Arial" w:cs="Arial"/>
          <w:sz w:val="22"/>
          <w:szCs w:val="22"/>
        </w:rPr>
        <w:t xml:space="preserve"> </w:t>
      </w:r>
      <w:r w:rsidR="007E4CE1">
        <w:rPr>
          <w:rFonts w:ascii="Arial" w:hAnsi="Arial" w:cs="Arial"/>
          <w:snapToGrid w:val="0"/>
          <w:color w:val="auto"/>
          <w:sz w:val="22"/>
          <w:szCs w:val="22"/>
        </w:rPr>
        <w:t xml:space="preserve">recognised that industry has already achieved a significant reduction in </w:t>
      </w:r>
      <w:r w:rsidR="007E4CE1" w:rsidRPr="00903916">
        <w:rPr>
          <w:rFonts w:ascii="Arial" w:hAnsi="Arial" w:cs="Arial"/>
          <w:snapToGrid w:val="0"/>
          <w:color w:val="auto"/>
          <w:sz w:val="22"/>
          <w:szCs w:val="22"/>
        </w:rPr>
        <w:t>trans</w:t>
      </w:r>
      <w:r w:rsidR="007E4CE1" w:rsidRPr="007E4CE1">
        <w:rPr>
          <w:rFonts w:ascii="Arial" w:hAnsi="Arial" w:cs="Arial"/>
          <w:i/>
          <w:snapToGrid w:val="0"/>
          <w:color w:val="auto"/>
          <w:sz w:val="22"/>
          <w:szCs w:val="22"/>
        </w:rPr>
        <w:t xml:space="preserve"> </w:t>
      </w:r>
      <w:r w:rsidR="007E4CE1">
        <w:rPr>
          <w:rFonts w:ascii="Arial" w:hAnsi="Arial" w:cs="Arial"/>
          <w:snapToGrid w:val="0"/>
          <w:color w:val="auto"/>
          <w:sz w:val="22"/>
          <w:szCs w:val="22"/>
        </w:rPr>
        <w:t>fatty acids (TFAs) and that the level of TFAs in the Australian diet is well below the at-risk level. On this basis, the Forum questioned whether a deadline for a complete phase out was actually required.</w:t>
      </w:r>
    </w:p>
    <w:p w:rsidR="008B74B1" w:rsidRDefault="00355DA7" w:rsidP="00355DA7">
      <w:pPr>
        <w:pStyle w:val="Heading2"/>
      </w:pPr>
      <w:bookmarkStart w:id="17" w:name="_Toc409699747"/>
      <w:r>
        <w:t>1.3</w:t>
      </w:r>
      <w:r>
        <w:tab/>
      </w:r>
      <w:r w:rsidR="00903895">
        <w:t xml:space="preserve">What are </w:t>
      </w:r>
      <w:r w:rsidR="00903895" w:rsidRPr="00903916">
        <w:t>t</w:t>
      </w:r>
      <w:r w:rsidR="008B74B1" w:rsidRPr="00903916">
        <w:t>rans</w:t>
      </w:r>
      <w:r w:rsidR="008B74B1">
        <w:t xml:space="preserve"> fatty acids</w:t>
      </w:r>
      <w:r w:rsidR="00903895">
        <w:t>?</w:t>
      </w:r>
      <w:bookmarkEnd w:id="17"/>
    </w:p>
    <w:p w:rsidR="00E75007" w:rsidRPr="008673C5" w:rsidRDefault="00E75007" w:rsidP="00447168">
      <w:r w:rsidRPr="008673C5">
        <w:t xml:space="preserve">Unsaturated fatty acids can occur in the common </w:t>
      </w:r>
      <w:r w:rsidRPr="008673C5">
        <w:rPr>
          <w:i/>
        </w:rPr>
        <w:t>cis</w:t>
      </w:r>
      <w:r w:rsidRPr="008673C5">
        <w:t xml:space="preserve"> structure, or the rarer </w:t>
      </w:r>
      <w:r w:rsidRPr="008673C5">
        <w:rPr>
          <w:i/>
        </w:rPr>
        <w:t xml:space="preserve">trans </w:t>
      </w:r>
      <w:r w:rsidRPr="008673C5">
        <w:t>configuration. The different structures of cis and trans fatty acids lead to different chemical and physical properties and may also explain the differences in their biological activity. TFAs are unsaturated fatty acids which contain at least one double bond in the trans configuration.</w:t>
      </w:r>
    </w:p>
    <w:p w:rsidR="00E75007" w:rsidRPr="008673C5" w:rsidRDefault="00E75007" w:rsidP="00447168"/>
    <w:p w:rsidR="00447168" w:rsidRDefault="008A043F" w:rsidP="00447168">
      <w:r w:rsidRPr="008673C5">
        <w:t xml:space="preserve">Sources of dietary intake of TFAs include naturally occurring TFAs found in </w:t>
      </w:r>
      <w:r w:rsidR="00447168" w:rsidRPr="008673C5">
        <w:t>meat and milk from ruminant animals</w:t>
      </w:r>
      <w:r w:rsidR="00274CBD" w:rsidRPr="008673C5">
        <w:t xml:space="preserve"> (referred to as </w:t>
      </w:r>
      <w:r w:rsidR="00274CBD" w:rsidRPr="008673C5">
        <w:rPr>
          <w:i/>
        </w:rPr>
        <w:t>ruminant</w:t>
      </w:r>
      <w:r w:rsidR="00274CBD" w:rsidRPr="008673C5">
        <w:t xml:space="preserve"> TFAs in this report)</w:t>
      </w:r>
      <w:r w:rsidR="00447168" w:rsidRPr="008673C5">
        <w:t xml:space="preserve"> and </w:t>
      </w:r>
      <w:r w:rsidRPr="008673C5">
        <w:t xml:space="preserve">TFAs formed from </w:t>
      </w:r>
      <w:r w:rsidR="00447168" w:rsidRPr="008673C5">
        <w:lastRenderedPageBreak/>
        <w:t>manufacturing processes such as hydrogenation</w:t>
      </w:r>
      <w:r w:rsidR="00274CBD" w:rsidRPr="008673C5">
        <w:t xml:space="preserve"> (referred to as </w:t>
      </w:r>
      <w:r w:rsidR="00274CBD" w:rsidRPr="008673C5">
        <w:rPr>
          <w:i/>
        </w:rPr>
        <w:t xml:space="preserve">manufactured </w:t>
      </w:r>
      <w:r w:rsidR="00274CBD" w:rsidRPr="008673C5">
        <w:t>TFAs in this report)</w:t>
      </w:r>
      <w:r w:rsidR="00447168" w:rsidRPr="008673C5">
        <w:t>.</w:t>
      </w:r>
      <w:r w:rsidR="00447168">
        <w:t xml:space="preserve"> </w:t>
      </w:r>
      <w:r w:rsidR="00373CA0" w:rsidRPr="00373CA0">
        <w:t>Manufactured TFAs (also known as artificial TFAs) are formed when liquid vegetable oils are partially hydrogenated or ‘hardened’ during processing to create spreads such as margarine, cooking fats for deep-frying and shortening for baking. Some TFAs are also formed during high temperature cooking.</w:t>
      </w:r>
      <w:r w:rsidR="00373CA0">
        <w:t xml:space="preserve"> </w:t>
      </w:r>
      <w:r w:rsidR="00447168">
        <w:t>TFAs can also be formed in food through other manufacturing processes including deodorisation of oils to remove aromatic impurities and heating of oils at excessive temperatures.</w:t>
      </w:r>
    </w:p>
    <w:p w:rsidR="00447168" w:rsidRPr="00DE74A3" w:rsidRDefault="00447168" w:rsidP="00447168"/>
    <w:p w:rsidR="009B40AE" w:rsidRDefault="00447168" w:rsidP="00447168">
      <w:r>
        <w:t>Total</w:t>
      </w:r>
      <w:r w:rsidRPr="00DE74A3">
        <w:t xml:space="preserve"> TFA</w:t>
      </w:r>
      <w:r>
        <w:t>s</w:t>
      </w:r>
      <w:r w:rsidRPr="00DE74A3">
        <w:t xml:space="preserve"> refers to the sum of ruminant plus manufactured TFA</w:t>
      </w:r>
      <w:r w:rsidR="001E0F36">
        <w:t>s</w:t>
      </w:r>
      <w:r w:rsidRPr="00DE74A3">
        <w:t xml:space="preserve">. The range of individual </w:t>
      </w:r>
      <w:r>
        <w:t>TFAs</w:t>
      </w:r>
      <w:r w:rsidRPr="00DE74A3">
        <w:t xml:space="preserve"> is the same in ruminant and manufactured </w:t>
      </w:r>
      <w:r w:rsidR="00903916">
        <w:t>trans fatty acid (</w:t>
      </w:r>
      <w:r w:rsidRPr="00DE74A3">
        <w:t>TFA</w:t>
      </w:r>
      <w:r w:rsidR="00903916">
        <w:t>)</w:t>
      </w:r>
      <w:r w:rsidRPr="00DE74A3">
        <w:t xml:space="preserve"> sources, but the proportions of these individual acids differ.</w:t>
      </w:r>
      <w:r>
        <w:t xml:space="preserve"> Unless the term manufactured or ruminant TFA</w:t>
      </w:r>
      <w:r w:rsidR="00903916">
        <w:t>s</w:t>
      </w:r>
      <w:r>
        <w:t xml:space="preserve"> is specified, it should be assumed that the use of TFAs in the report refers to total TFAs. </w:t>
      </w:r>
    </w:p>
    <w:p w:rsidR="009B40AE" w:rsidRDefault="009B40AE" w:rsidP="00447168"/>
    <w:p w:rsidR="00447168" w:rsidRPr="00447168" w:rsidRDefault="009B40AE" w:rsidP="00447168">
      <w:r>
        <w:t>The variation in the regulatory definition of TFAs around the world was discussed in the FSANZ 2007 review of TFAs (see section 1.5) (FSANZ 2007). As noted in the earlier report, many regulatory definitions, while not specifically excluding ruminant TFAs, exclude fatty acids with conjugated bonds from the definition of TFA, even though these acids have double bonds in the trans configuration. These definitions stem from the view that regulatory definitions adequately identify the fatty acids targeted by regulation. The Australian and New Zealand approach closely follows the chemical definition of trans configuration in fatty acids, and includes all types of TFAs, including ruminant TFAs.</w:t>
      </w:r>
    </w:p>
    <w:p w:rsidR="00741937" w:rsidRDefault="008B74B1" w:rsidP="008B74B1">
      <w:pPr>
        <w:pStyle w:val="Heading2"/>
      </w:pPr>
      <w:bookmarkStart w:id="18" w:name="_Toc409699748"/>
      <w:r>
        <w:t>1.4</w:t>
      </w:r>
      <w:r>
        <w:tab/>
      </w:r>
      <w:r w:rsidR="00741937">
        <w:t>World Health Organi</w:t>
      </w:r>
      <w:r w:rsidR="004732D4">
        <w:t>z</w:t>
      </w:r>
      <w:r w:rsidR="00741937">
        <w:t xml:space="preserve">ation goals for </w:t>
      </w:r>
      <w:r w:rsidR="00741937" w:rsidRPr="00903916">
        <w:t>trans</w:t>
      </w:r>
      <w:r w:rsidR="00741937" w:rsidRPr="00741937">
        <w:rPr>
          <w:i/>
        </w:rPr>
        <w:t xml:space="preserve"> </w:t>
      </w:r>
      <w:r w:rsidR="00741937">
        <w:t>fatty acids</w:t>
      </w:r>
      <w:bookmarkEnd w:id="18"/>
    </w:p>
    <w:p w:rsidR="00741937" w:rsidRDefault="00741937" w:rsidP="00741937">
      <w:pPr>
        <w:widowControl/>
        <w:autoSpaceDE w:val="0"/>
        <w:autoSpaceDN w:val="0"/>
        <w:adjustRightInd w:val="0"/>
        <w:rPr>
          <w:rFonts w:ascii="VendettaMedium" w:hAnsi="VendettaMedium" w:cs="VendettaMedium"/>
          <w:color w:val="000000"/>
          <w:szCs w:val="22"/>
          <w:lang w:val="en-NZ" w:eastAsia="en-GB" w:bidi="ar-SA"/>
        </w:rPr>
      </w:pPr>
      <w:r>
        <w:rPr>
          <w:lang w:bidi="ar-SA"/>
        </w:rPr>
        <w:t>I</w:t>
      </w:r>
      <w:r w:rsidR="004732D4">
        <w:rPr>
          <w:lang w:bidi="ar-SA"/>
        </w:rPr>
        <w:t>n 2003, the World Health Organiz</w:t>
      </w:r>
      <w:r>
        <w:rPr>
          <w:lang w:bidi="ar-SA"/>
        </w:rPr>
        <w:t xml:space="preserve">ation (WHO) set nutrient goals, including one specifically recommending that TFAs contribute less than 1% </w:t>
      </w:r>
      <w:r w:rsidR="002C5765">
        <w:rPr>
          <w:lang w:bidi="ar-SA"/>
        </w:rPr>
        <w:t>dietary energy intake</w:t>
      </w:r>
      <w:r>
        <w:rPr>
          <w:lang w:bidi="ar-SA"/>
        </w:rPr>
        <w:t xml:space="preserve"> (WHO, 2003). The </w:t>
      </w:r>
      <w:r w:rsidRPr="00825A7D">
        <w:rPr>
          <w:lang w:bidi="ar-SA"/>
        </w:rPr>
        <w:t>Global Strategy on Diet</w:t>
      </w:r>
      <w:r>
        <w:rPr>
          <w:lang w:bidi="ar-SA"/>
        </w:rPr>
        <w:t xml:space="preserve">, Physical Activity and Health, released in 2004, stated that recommendations for populations and individuals should </w:t>
      </w:r>
      <w:r w:rsidRPr="00825A7D">
        <w:rPr>
          <w:i/>
          <w:lang w:bidi="ar-SA"/>
        </w:rPr>
        <w:t>limit energy intake from total fats and shift fat consumption away from saturated fats to unsaturated fats and towards the elimination of trans</w:t>
      </w:r>
      <w:r>
        <w:rPr>
          <w:i/>
          <w:lang w:bidi="ar-SA"/>
        </w:rPr>
        <w:t>-</w:t>
      </w:r>
      <w:r w:rsidRPr="00825A7D">
        <w:rPr>
          <w:i/>
          <w:lang w:bidi="ar-SA"/>
        </w:rPr>
        <w:t>fatty acids</w:t>
      </w:r>
      <w:r>
        <w:rPr>
          <w:i/>
          <w:lang w:bidi="ar-SA"/>
        </w:rPr>
        <w:t xml:space="preserve"> </w:t>
      </w:r>
      <w:r w:rsidR="00A52358">
        <w:rPr>
          <w:lang w:bidi="ar-SA"/>
        </w:rPr>
        <w:t>(WHO</w:t>
      </w:r>
      <w:r>
        <w:rPr>
          <w:lang w:bidi="ar-SA"/>
        </w:rPr>
        <w:t xml:space="preserve"> 2004)</w:t>
      </w:r>
      <w:r>
        <w:rPr>
          <w:i/>
          <w:lang w:bidi="ar-SA"/>
        </w:rPr>
        <w:t xml:space="preserve">. </w:t>
      </w:r>
      <w:r>
        <w:rPr>
          <w:lang w:bidi="ar-SA"/>
        </w:rPr>
        <w:t xml:space="preserve">The strategy also indicated that </w:t>
      </w:r>
      <w:r>
        <w:rPr>
          <w:rFonts w:ascii="VendettaMedium" w:hAnsi="VendettaMedium" w:cs="VendettaMedium"/>
          <w:color w:val="000000"/>
          <w:szCs w:val="22"/>
          <w:lang w:val="en-NZ" w:eastAsia="en-GB" w:bidi="ar-SA"/>
        </w:rPr>
        <w:t>specific recommendations to the food industry should refer to limiting the levels of TFAs in existing foods. In 2009, a WHO scientific update on TFAs was published following a meeting</w:t>
      </w:r>
      <w:r w:rsidR="00A52358">
        <w:rPr>
          <w:rFonts w:ascii="VendettaMedium" w:hAnsi="VendettaMedium" w:cs="VendettaMedium"/>
          <w:color w:val="000000"/>
          <w:szCs w:val="22"/>
          <w:lang w:val="en-NZ" w:eastAsia="en-GB" w:bidi="ar-SA"/>
        </w:rPr>
        <w:t xml:space="preserve"> of experts in 2007 (</w:t>
      </w:r>
      <w:proofErr w:type="spellStart"/>
      <w:r w:rsidR="00A52358">
        <w:rPr>
          <w:rFonts w:ascii="VendettaMedium" w:hAnsi="VendettaMedium" w:cs="VendettaMedium"/>
          <w:color w:val="000000"/>
          <w:szCs w:val="22"/>
          <w:lang w:val="en-NZ" w:eastAsia="en-GB" w:bidi="ar-SA"/>
        </w:rPr>
        <w:t>Uauy</w:t>
      </w:r>
      <w:proofErr w:type="spellEnd"/>
      <w:r w:rsidR="00A52358">
        <w:rPr>
          <w:rFonts w:ascii="VendettaMedium" w:hAnsi="VendettaMedium" w:cs="VendettaMedium"/>
          <w:color w:val="000000"/>
          <w:szCs w:val="22"/>
          <w:lang w:val="en-NZ" w:eastAsia="en-GB" w:bidi="ar-SA"/>
        </w:rPr>
        <w:t xml:space="preserve"> et al.</w:t>
      </w:r>
      <w:r>
        <w:rPr>
          <w:rFonts w:ascii="VendettaMedium" w:hAnsi="VendettaMedium" w:cs="VendettaMedium"/>
          <w:color w:val="000000"/>
          <w:szCs w:val="22"/>
          <w:lang w:val="en-NZ" w:eastAsia="en-GB" w:bidi="ar-SA"/>
        </w:rPr>
        <w:t xml:space="preserve"> 2009). The key conclusions were as follows:</w:t>
      </w:r>
    </w:p>
    <w:p w:rsidR="00741937" w:rsidRDefault="00741937" w:rsidP="00741937">
      <w:pPr>
        <w:widowControl/>
        <w:autoSpaceDE w:val="0"/>
        <w:autoSpaceDN w:val="0"/>
        <w:adjustRightInd w:val="0"/>
        <w:rPr>
          <w:rFonts w:ascii="VendettaMedium" w:hAnsi="VendettaMedium" w:cs="VendettaMedium"/>
          <w:color w:val="000000"/>
          <w:szCs w:val="22"/>
          <w:lang w:val="en-NZ" w:eastAsia="en-GB" w:bidi="ar-SA"/>
        </w:rPr>
      </w:pPr>
    </w:p>
    <w:p w:rsidR="00741937" w:rsidRPr="00D534EC" w:rsidRDefault="00741937" w:rsidP="00C230F7">
      <w:pPr>
        <w:pStyle w:val="FSBullet"/>
        <w:rPr>
          <w:rFonts w:ascii="VendettaMedium" w:hAnsi="VendettaMedium" w:cs="VendettaMedium"/>
          <w:i/>
          <w:color w:val="000000"/>
          <w:szCs w:val="22"/>
          <w:lang w:val="en-NZ" w:eastAsia="en-GB" w:bidi="ar-SA"/>
        </w:rPr>
      </w:pPr>
      <w:r w:rsidRPr="00D534EC">
        <w:rPr>
          <w:i/>
          <w:lang w:val="en-NZ" w:eastAsia="en-GB" w:bidi="ar-SA"/>
        </w:rPr>
        <w:t xml:space="preserve">TFAs produced by partial hydrogenation of fats and oils should be considered industrial food additives having no demonstrable health benefits and clear risks to human health. </w:t>
      </w:r>
    </w:p>
    <w:p w:rsidR="00741937" w:rsidRPr="00D534EC" w:rsidRDefault="00741937" w:rsidP="00741937">
      <w:pPr>
        <w:pStyle w:val="FSBullet"/>
        <w:numPr>
          <w:ilvl w:val="0"/>
          <w:numId w:val="0"/>
        </w:numPr>
        <w:ind w:left="567"/>
        <w:rPr>
          <w:rFonts w:ascii="VendettaMedium" w:hAnsi="VendettaMedium" w:cs="VendettaMedium"/>
          <w:i/>
          <w:color w:val="000000"/>
          <w:szCs w:val="22"/>
          <w:lang w:val="en-NZ" w:eastAsia="en-GB" w:bidi="ar-SA"/>
        </w:rPr>
      </w:pPr>
    </w:p>
    <w:p w:rsidR="00741937" w:rsidRDefault="00741937" w:rsidP="00C230F7">
      <w:pPr>
        <w:pStyle w:val="FSBullet"/>
        <w:rPr>
          <w:rFonts w:ascii="VendettaMedium" w:hAnsi="VendettaMedium" w:cs="VendettaMedium"/>
          <w:i/>
          <w:color w:val="000000"/>
          <w:szCs w:val="22"/>
          <w:lang w:val="en-NZ" w:eastAsia="en-GB" w:bidi="ar-SA"/>
        </w:rPr>
      </w:pPr>
      <w:r>
        <w:rPr>
          <w:rFonts w:ascii="VendettaMedium" w:hAnsi="VendettaMedium" w:cs="VendettaMedium"/>
          <w:i/>
          <w:color w:val="000000"/>
          <w:szCs w:val="22"/>
          <w:lang w:val="en-NZ" w:eastAsia="en-GB" w:bidi="ar-SA"/>
        </w:rPr>
        <w:t>R</w:t>
      </w:r>
      <w:r w:rsidRPr="00D534EC">
        <w:rPr>
          <w:rFonts w:ascii="VendettaMedium" w:hAnsi="VendettaMedium" w:cs="VendettaMedium"/>
          <w:i/>
          <w:color w:val="000000"/>
          <w:szCs w:val="22"/>
          <w:lang w:val="en-NZ" w:eastAsia="en-GB" w:bidi="ar-SA"/>
        </w:rPr>
        <w:t>estaurants and food manufacturers</w:t>
      </w:r>
      <w:r>
        <w:rPr>
          <w:rFonts w:ascii="VendettaMedium" w:hAnsi="VendettaMedium" w:cs="VendettaMedium"/>
          <w:i/>
          <w:color w:val="000000"/>
          <w:szCs w:val="22"/>
          <w:lang w:val="en-NZ" w:eastAsia="en-GB" w:bidi="ar-SA"/>
        </w:rPr>
        <w:t xml:space="preserve"> </w:t>
      </w:r>
      <w:r w:rsidRPr="00D534EC">
        <w:rPr>
          <w:rFonts w:ascii="VendettaMedium" w:hAnsi="VendettaMedium" w:cs="VendettaMedium"/>
          <w:i/>
          <w:color w:val="000000"/>
          <w:szCs w:val="22"/>
          <w:lang w:val="en-NZ" w:eastAsia="en-GB" w:bidi="ar-SA"/>
        </w:rPr>
        <w:t>should avoid using i</w:t>
      </w:r>
      <w:r>
        <w:rPr>
          <w:rFonts w:ascii="VendettaMedium" w:hAnsi="VendettaMedium" w:cs="VendettaMedium"/>
          <w:i/>
          <w:color w:val="000000"/>
          <w:szCs w:val="22"/>
          <w:lang w:val="en-NZ" w:eastAsia="en-GB" w:bidi="ar-SA"/>
        </w:rPr>
        <w:t xml:space="preserve">ndustrially derived TFA in food </w:t>
      </w:r>
      <w:r w:rsidRPr="00D534EC">
        <w:rPr>
          <w:rFonts w:ascii="VendettaMedium" w:hAnsi="VendettaMedium" w:cs="VendettaMedium"/>
          <w:i/>
          <w:color w:val="000000"/>
          <w:szCs w:val="22"/>
          <w:lang w:val="en-NZ" w:eastAsia="en-GB" w:bidi="ar-SA"/>
        </w:rPr>
        <w:t>products and that governments should take steps to supp</w:t>
      </w:r>
      <w:r>
        <w:rPr>
          <w:rFonts w:ascii="VendettaMedium" w:hAnsi="VendettaMedium" w:cs="VendettaMedium"/>
          <w:i/>
          <w:color w:val="000000"/>
          <w:szCs w:val="22"/>
          <w:lang w:val="en-NZ" w:eastAsia="en-GB" w:bidi="ar-SA"/>
        </w:rPr>
        <w:t xml:space="preserve">ort </w:t>
      </w:r>
      <w:r w:rsidRPr="00D534EC">
        <w:rPr>
          <w:rFonts w:ascii="VendettaMedium" w:hAnsi="VendettaMedium" w:cs="VendettaMedium"/>
          <w:i/>
          <w:color w:val="000000"/>
          <w:szCs w:val="22"/>
          <w:lang w:val="en-NZ" w:eastAsia="en-GB" w:bidi="ar-SA"/>
        </w:rPr>
        <w:t>alternative fats or oils for TFA replacement</w:t>
      </w:r>
      <w:r>
        <w:rPr>
          <w:rFonts w:ascii="VendettaMedium" w:hAnsi="VendettaMedium" w:cs="VendettaMedium"/>
          <w:i/>
          <w:color w:val="000000"/>
          <w:szCs w:val="22"/>
          <w:lang w:val="en-NZ" w:eastAsia="en-GB" w:bidi="ar-SA"/>
        </w:rPr>
        <w:t>.</w:t>
      </w:r>
    </w:p>
    <w:p w:rsidR="00741937" w:rsidRPr="00D534EC" w:rsidRDefault="00741937" w:rsidP="00741937">
      <w:pPr>
        <w:rPr>
          <w:lang w:val="en-NZ" w:eastAsia="en-GB" w:bidi="ar-SA"/>
        </w:rPr>
      </w:pPr>
    </w:p>
    <w:p w:rsidR="00741937" w:rsidRPr="00741937" w:rsidRDefault="00741937" w:rsidP="00C230F7">
      <w:pPr>
        <w:pStyle w:val="FSBullet"/>
        <w:rPr>
          <w:lang w:bidi="ar-SA"/>
        </w:rPr>
      </w:pPr>
      <w:r>
        <w:rPr>
          <w:lang w:val="en-NZ" w:eastAsia="en-GB" w:bidi="ar-SA"/>
        </w:rPr>
        <w:t xml:space="preserve">There is a </w:t>
      </w:r>
      <w:r w:rsidRPr="001339D3">
        <w:rPr>
          <w:i/>
          <w:lang w:bidi="ar-SA"/>
        </w:rPr>
        <w:t>need to review the current recommendation that the mean population intake of TFA, that is, partially hydrogenated oils and fats, should be less than 1% of daily energy intake. There is sufficient epidemiological and experimental evidence to support revising this recommendation so that it encompasses the great majority of the population, and not just the population mean, to protect large subgroups from having high intakes</w:t>
      </w:r>
      <w:r>
        <w:rPr>
          <w:lang w:bidi="ar-SA"/>
        </w:rPr>
        <w:t>.</w:t>
      </w:r>
    </w:p>
    <w:p w:rsidR="00A413EA" w:rsidRDefault="00741937" w:rsidP="008B74B1">
      <w:pPr>
        <w:pStyle w:val="Heading2"/>
      </w:pPr>
      <w:bookmarkStart w:id="19" w:name="_Toc409699749"/>
      <w:r>
        <w:t>1.5</w:t>
      </w:r>
      <w:r>
        <w:tab/>
      </w:r>
      <w:r w:rsidR="00A413EA">
        <w:t xml:space="preserve">Previous </w:t>
      </w:r>
      <w:r w:rsidR="00903895">
        <w:t xml:space="preserve">FSANZ </w:t>
      </w:r>
      <w:r w:rsidR="00EC1F3B">
        <w:t xml:space="preserve">reviews of </w:t>
      </w:r>
      <w:r w:rsidR="00EC1F3B" w:rsidRPr="00903916">
        <w:t>trans</w:t>
      </w:r>
      <w:r w:rsidR="00EC1F3B" w:rsidRPr="00EC1F3B">
        <w:rPr>
          <w:i/>
        </w:rPr>
        <w:t xml:space="preserve"> </w:t>
      </w:r>
      <w:r w:rsidR="00EC1F3B">
        <w:t>fatty acids</w:t>
      </w:r>
      <w:bookmarkEnd w:id="19"/>
    </w:p>
    <w:p w:rsidR="00355DA7" w:rsidRDefault="00197D88" w:rsidP="00355DA7">
      <w:pPr>
        <w:widowControl/>
        <w:autoSpaceDE w:val="0"/>
        <w:autoSpaceDN w:val="0"/>
        <w:adjustRightInd w:val="0"/>
        <w:rPr>
          <w:rFonts w:cs="Arial"/>
          <w:szCs w:val="22"/>
          <w:lang w:val="en-NZ" w:eastAsia="en-GB" w:bidi="ar-SA"/>
        </w:rPr>
      </w:pPr>
      <w:r>
        <w:rPr>
          <w:rFonts w:cs="Arial"/>
          <w:szCs w:val="22"/>
          <w:lang w:val="en-NZ" w:eastAsia="en-GB" w:bidi="ar-SA"/>
        </w:rPr>
        <w:t xml:space="preserve">FSANZ has </w:t>
      </w:r>
      <w:r w:rsidR="001720B1">
        <w:rPr>
          <w:rFonts w:cs="Arial"/>
          <w:szCs w:val="22"/>
          <w:lang w:val="en-NZ" w:eastAsia="en-GB" w:bidi="ar-SA"/>
        </w:rPr>
        <w:t xml:space="preserve">previously </w:t>
      </w:r>
      <w:r>
        <w:rPr>
          <w:rFonts w:cs="Arial"/>
          <w:szCs w:val="22"/>
          <w:lang w:val="en-NZ" w:eastAsia="en-GB" w:bidi="ar-SA"/>
        </w:rPr>
        <w:t xml:space="preserve">completed two reviews of TFAs in the New Zealand and Australian food supply and considered the risk posed by dietary intakes of TFAs. </w:t>
      </w:r>
    </w:p>
    <w:p w:rsidR="00355DA7" w:rsidRDefault="00355DA7" w:rsidP="00355DA7">
      <w:pPr>
        <w:widowControl/>
        <w:autoSpaceDE w:val="0"/>
        <w:autoSpaceDN w:val="0"/>
        <w:adjustRightInd w:val="0"/>
        <w:rPr>
          <w:rFonts w:cs="Arial"/>
          <w:szCs w:val="22"/>
          <w:lang w:val="en-NZ" w:eastAsia="en-GB" w:bidi="ar-SA"/>
        </w:rPr>
      </w:pPr>
    </w:p>
    <w:p w:rsidR="00E25E09" w:rsidRPr="00355DA7" w:rsidRDefault="00197D88" w:rsidP="00EC6841">
      <w:pPr>
        <w:pStyle w:val="FSBullet"/>
        <w:widowControl/>
        <w:numPr>
          <w:ilvl w:val="0"/>
          <w:numId w:val="0"/>
        </w:numPr>
        <w:autoSpaceDE w:val="0"/>
        <w:autoSpaceDN w:val="0"/>
        <w:adjustRightInd w:val="0"/>
        <w:rPr>
          <w:szCs w:val="22"/>
          <w:lang w:val="en-NZ" w:eastAsia="en-GB" w:bidi="ar-SA"/>
        </w:rPr>
      </w:pPr>
      <w:r>
        <w:rPr>
          <w:szCs w:val="22"/>
          <w:lang w:val="en-NZ" w:eastAsia="en-GB" w:bidi="ar-SA"/>
        </w:rPr>
        <w:lastRenderedPageBreak/>
        <w:t>The first review, in 2006, was undertaken in response to a request from</w:t>
      </w:r>
      <w:r w:rsidR="00E25E09">
        <w:rPr>
          <w:szCs w:val="22"/>
          <w:lang w:val="en-NZ" w:eastAsia="en-GB" w:bidi="ar-SA"/>
        </w:rPr>
        <w:t xml:space="preserve"> the </w:t>
      </w:r>
      <w:r w:rsidR="009D7ED0">
        <w:rPr>
          <w:szCs w:val="22"/>
          <w:lang w:val="en-NZ" w:eastAsia="en-GB" w:bidi="ar-SA"/>
        </w:rPr>
        <w:t xml:space="preserve">then </w:t>
      </w:r>
      <w:r w:rsidR="00E25E09">
        <w:rPr>
          <w:szCs w:val="22"/>
          <w:lang w:val="en-NZ" w:eastAsia="en-GB" w:bidi="ar-SA"/>
        </w:rPr>
        <w:t>Ministerial Council</w:t>
      </w:r>
      <w:r w:rsidR="00EE147C">
        <w:rPr>
          <w:szCs w:val="22"/>
          <w:lang w:val="en-NZ" w:eastAsia="en-GB" w:bidi="ar-SA"/>
        </w:rPr>
        <w:t xml:space="preserve"> (FSA</w:t>
      </w:r>
      <w:r w:rsidR="00A52358">
        <w:rPr>
          <w:szCs w:val="22"/>
          <w:lang w:val="en-NZ" w:eastAsia="en-GB" w:bidi="ar-SA"/>
        </w:rPr>
        <w:t>NZ</w:t>
      </w:r>
      <w:r w:rsidR="00EE147C">
        <w:rPr>
          <w:szCs w:val="22"/>
          <w:lang w:val="en-NZ" w:eastAsia="en-GB" w:bidi="ar-SA"/>
        </w:rPr>
        <w:t xml:space="preserve"> 2007)</w:t>
      </w:r>
      <w:r>
        <w:rPr>
          <w:szCs w:val="22"/>
          <w:lang w:val="en-NZ" w:eastAsia="en-GB" w:bidi="ar-SA"/>
        </w:rPr>
        <w:t>.</w:t>
      </w:r>
      <w:r w:rsidR="00E25E09">
        <w:rPr>
          <w:szCs w:val="22"/>
          <w:lang w:val="en-NZ" w:eastAsia="en-GB" w:bidi="ar-SA"/>
        </w:rPr>
        <w:t xml:space="preserve"> </w:t>
      </w:r>
      <w:r w:rsidR="00194677">
        <w:rPr>
          <w:szCs w:val="22"/>
          <w:lang w:val="en-NZ" w:eastAsia="en-GB" w:bidi="ar-SA"/>
        </w:rPr>
        <w:t>The TFA concentration</w:t>
      </w:r>
      <w:r w:rsidR="003A032A">
        <w:rPr>
          <w:szCs w:val="22"/>
          <w:lang w:val="en-NZ" w:eastAsia="en-GB" w:bidi="ar-SA"/>
        </w:rPr>
        <w:t>s</w:t>
      </w:r>
      <w:r w:rsidR="00194677">
        <w:rPr>
          <w:szCs w:val="22"/>
          <w:lang w:val="en-NZ" w:eastAsia="en-GB" w:bidi="ar-SA"/>
        </w:rPr>
        <w:t xml:space="preserve"> in</w:t>
      </w:r>
      <w:r w:rsidR="003A032A">
        <w:rPr>
          <w:szCs w:val="22"/>
          <w:lang w:val="en-NZ" w:eastAsia="en-GB" w:bidi="ar-SA"/>
        </w:rPr>
        <w:t xml:space="preserve"> Australia and New Zealand food</w:t>
      </w:r>
      <w:r w:rsidR="00194677">
        <w:rPr>
          <w:szCs w:val="22"/>
          <w:lang w:val="en-NZ" w:eastAsia="en-GB" w:bidi="ar-SA"/>
        </w:rPr>
        <w:t xml:space="preserve"> sampled between 2001</w:t>
      </w:r>
      <w:r w:rsidR="00A52358">
        <w:rPr>
          <w:szCs w:val="22"/>
          <w:lang w:val="en-NZ" w:eastAsia="en-GB" w:bidi="ar-SA"/>
        </w:rPr>
        <w:t xml:space="preserve"> and </w:t>
      </w:r>
      <w:r w:rsidR="008D74A7">
        <w:rPr>
          <w:szCs w:val="22"/>
          <w:lang w:val="en-NZ" w:eastAsia="en-GB" w:bidi="ar-SA"/>
        </w:rPr>
        <w:t xml:space="preserve">2006 </w:t>
      </w:r>
      <w:r w:rsidR="003A032A">
        <w:rPr>
          <w:szCs w:val="22"/>
          <w:lang w:val="en-NZ" w:eastAsia="en-GB" w:bidi="ar-SA"/>
        </w:rPr>
        <w:t>were</w:t>
      </w:r>
      <w:r w:rsidR="008D74A7">
        <w:rPr>
          <w:szCs w:val="22"/>
          <w:lang w:val="en-NZ" w:eastAsia="en-GB" w:bidi="ar-SA"/>
        </w:rPr>
        <w:t xml:space="preserve"> used to determine</w:t>
      </w:r>
      <w:r w:rsidR="00194677">
        <w:rPr>
          <w:szCs w:val="22"/>
          <w:lang w:val="en-NZ" w:eastAsia="en-GB" w:bidi="ar-SA"/>
        </w:rPr>
        <w:t xml:space="preserve"> the dietary intake of TFAs. </w:t>
      </w:r>
      <w:r>
        <w:rPr>
          <w:szCs w:val="22"/>
          <w:lang w:val="en-NZ" w:eastAsia="en-GB" w:bidi="ar-SA"/>
        </w:rPr>
        <w:t>At</w:t>
      </w:r>
      <w:r w:rsidR="00355DA7">
        <w:rPr>
          <w:szCs w:val="22"/>
          <w:lang w:val="en-NZ" w:eastAsia="en-GB" w:bidi="ar-SA"/>
        </w:rPr>
        <w:t xml:space="preserve"> that time, </w:t>
      </w:r>
      <w:r w:rsidR="00355DA7">
        <w:rPr>
          <w:lang w:val="en-NZ" w:eastAsia="en-GB"/>
        </w:rPr>
        <w:t>t</w:t>
      </w:r>
      <w:r w:rsidR="00E25E09" w:rsidRPr="00355DA7">
        <w:rPr>
          <w:lang w:val="en-NZ" w:eastAsia="en-GB"/>
        </w:rPr>
        <w:t xml:space="preserve">he contribution of TFAs to total energy intake in Australia and New Zealand </w:t>
      </w:r>
      <w:r w:rsidR="00EC6841">
        <w:rPr>
          <w:lang w:val="en-NZ" w:eastAsia="en-GB"/>
        </w:rPr>
        <w:t>was found to average</w:t>
      </w:r>
      <w:r w:rsidRPr="00355DA7">
        <w:rPr>
          <w:lang w:val="en-NZ" w:eastAsia="en-GB"/>
        </w:rPr>
        <w:t xml:space="preserve"> </w:t>
      </w:r>
      <w:r w:rsidR="00355DA7">
        <w:rPr>
          <w:lang w:val="en-NZ" w:eastAsia="en-GB"/>
        </w:rPr>
        <w:t xml:space="preserve">at </w:t>
      </w:r>
      <w:r w:rsidR="00E25E09" w:rsidRPr="00355DA7">
        <w:rPr>
          <w:lang w:val="en-NZ" w:eastAsia="en-GB"/>
        </w:rPr>
        <w:t>0.6% and 0.7%, respectively. These intakes were below the WHO goal of TFA</w:t>
      </w:r>
      <w:r w:rsidRPr="00355DA7">
        <w:rPr>
          <w:lang w:val="en-NZ" w:eastAsia="en-GB"/>
        </w:rPr>
        <w:t xml:space="preserve"> </w:t>
      </w:r>
      <w:r w:rsidR="00E25E09" w:rsidRPr="00355DA7">
        <w:rPr>
          <w:lang w:val="en-NZ" w:eastAsia="en-GB"/>
        </w:rPr>
        <w:t>contributing less than 1% to total energy intake and comparable to, or lower than those</w:t>
      </w:r>
      <w:r w:rsidRPr="00355DA7">
        <w:rPr>
          <w:lang w:val="en-NZ" w:eastAsia="en-GB"/>
        </w:rPr>
        <w:t xml:space="preserve"> </w:t>
      </w:r>
      <w:r w:rsidR="00E25E09" w:rsidRPr="00355DA7">
        <w:rPr>
          <w:lang w:val="en-NZ" w:eastAsia="en-GB"/>
        </w:rPr>
        <w:t>reported in other developed countries.</w:t>
      </w:r>
      <w:r w:rsidR="00355DA7">
        <w:rPr>
          <w:lang w:val="en-NZ" w:eastAsia="en-GB"/>
        </w:rPr>
        <w:t xml:space="preserve"> </w:t>
      </w:r>
      <w:r w:rsidR="00723773">
        <w:rPr>
          <w:lang w:bidi="ar-SA"/>
        </w:rPr>
        <w:t>Ruminant</w:t>
      </w:r>
      <w:r w:rsidR="00E25E09" w:rsidRPr="00580F92">
        <w:rPr>
          <w:lang w:bidi="ar-SA"/>
        </w:rPr>
        <w:t xml:space="preserve"> TFA</w:t>
      </w:r>
      <w:r w:rsidR="00E25E09" w:rsidRPr="00580F92">
        <w:t>s</w:t>
      </w:r>
      <w:r w:rsidR="00E25E09" w:rsidRPr="00580F92">
        <w:rPr>
          <w:lang w:bidi="ar-SA"/>
        </w:rPr>
        <w:t xml:space="preserve"> contributed approximately half</w:t>
      </w:r>
      <w:r w:rsidR="00580F92" w:rsidRPr="00580F92">
        <w:t xml:space="preserve"> </w:t>
      </w:r>
      <w:r w:rsidR="00E25E09" w:rsidRPr="00580F92">
        <w:rPr>
          <w:lang w:bidi="ar-SA"/>
        </w:rPr>
        <w:t>of the TFA intake.</w:t>
      </w:r>
      <w:r w:rsidR="00355DA7">
        <w:rPr>
          <w:lang w:bidi="ar-SA"/>
        </w:rPr>
        <w:t xml:space="preserve"> </w:t>
      </w:r>
      <w:r w:rsidR="00EC6841">
        <w:rPr>
          <w:szCs w:val="22"/>
          <w:lang w:val="en-NZ" w:eastAsia="en-GB" w:bidi="ar-SA"/>
        </w:rPr>
        <w:t>While there was</w:t>
      </w:r>
      <w:r w:rsidR="00EC6841" w:rsidRPr="00580F92">
        <w:rPr>
          <w:szCs w:val="22"/>
          <w:lang w:val="en-NZ" w:eastAsia="en-GB" w:bidi="ar-SA"/>
        </w:rPr>
        <w:t xml:space="preserve"> evidence that the adverse effects</w:t>
      </w:r>
      <w:r w:rsidR="00EC6841">
        <w:rPr>
          <w:szCs w:val="22"/>
          <w:lang w:val="en-NZ" w:eastAsia="en-GB" w:bidi="ar-SA"/>
        </w:rPr>
        <w:t xml:space="preserve"> of TFAs</w:t>
      </w:r>
      <w:r w:rsidR="00EC6841" w:rsidRPr="00580F92">
        <w:rPr>
          <w:szCs w:val="22"/>
          <w:lang w:val="en-NZ" w:eastAsia="en-GB" w:bidi="ar-SA"/>
        </w:rPr>
        <w:t xml:space="preserve"> on blood cholesterol </w:t>
      </w:r>
      <w:r w:rsidR="00EC6841">
        <w:rPr>
          <w:szCs w:val="22"/>
          <w:lang w:val="en-NZ" w:eastAsia="en-GB" w:bidi="ar-SA"/>
        </w:rPr>
        <w:t>were</w:t>
      </w:r>
      <w:r w:rsidR="00EC6841" w:rsidRPr="00580F92">
        <w:rPr>
          <w:szCs w:val="22"/>
          <w:lang w:val="en-NZ" w:eastAsia="en-GB" w:bidi="ar-SA"/>
        </w:rPr>
        <w:t xml:space="preserve"> greater than those posed by saturated fatty acids (SFAs), the TFA intakes of Australians</w:t>
      </w:r>
      <w:r w:rsidR="00EC6841">
        <w:rPr>
          <w:szCs w:val="22"/>
          <w:lang w:val="en-NZ" w:eastAsia="en-GB" w:bidi="ar-SA"/>
        </w:rPr>
        <w:t xml:space="preserve"> </w:t>
      </w:r>
      <w:r w:rsidR="00EC6841" w:rsidRPr="00580F92">
        <w:rPr>
          <w:szCs w:val="22"/>
          <w:lang w:val="en-NZ" w:eastAsia="en-GB" w:bidi="ar-SA"/>
        </w:rPr>
        <w:t xml:space="preserve">and New Zealanders </w:t>
      </w:r>
      <w:r w:rsidR="00EC6841">
        <w:rPr>
          <w:szCs w:val="22"/>
          <w:lang w:val="en-NZ" w:eastAsia="en-GB" w:bidi="ar-SA"/>
        </w:rPr>
        <w:t>were</w:t>
      </w:r>
      <w:r w:rsidR="00EC6841" w:rsidRPr="00580F92">
        <w:rPr>
          <w:szCs w:val="22"/>
          <w:lang w:val="en-NZ" w:eastAsia="en-GB" w:bidi="ar-SA"/>
        </w:rPr>
        <w:t xml:space="preserve"> much lower than the intakes of </w:t>
      </w:r>
      <w:r w:rsidR="00723773">
        <w:rPr>
          <w:szCs w:val="22"/>
          <w:lang w:val="en-NZ" w:eastAsia="en-GB" w:bidi="ar-SA"/>
        </w:rPr>
        <w:t>SFAs</w:t>
      </w:r>
      <w:r w:rsidR="00EC6841" w:rsidRPr="00580F92">
        <w:rPr>
          <w:szCs w:val="22"/>
          <w:lang w:val="en-NZ" w:eastAsia="en-GB" w:bidi="ar-SA"/>
        </w:rPr>
        <w:t>.</w:t>
      </w:r>
      <w:r w:rsidR="00C96BD1">
        <w:rPr>
          <w:szCs w:val="22"/>
          <w:lang w:val="en-NZ" w:eastAsia="en-GB" w:bidi="ar-SA"/>
        </w:rPr>
        <w:t xml:space="preserve"> </w:t>
      </w:r>
      <w:r w:rsidR="00355DA7">
        <w:rPr>
          <w:lang w:bidi="ar-SA"/>
        </w:rPr>
        <w:t xml:space="preserve">FSANZ recommended that </w:t>
      </w:r>
      <w:r w:rsidR="003A032A">
        <w:rPr>
          <w:lang w:bidi="ar-SA"/>
        </w:rPr>
        <w:t>a non-regulatory approach</w:t>
      </w:r>
      <w:r w:rsidR="00EC6841">
        <w:rPr>
          <w:lang w:bidi="ar-SA"/>
        </w:rPr>
        <w:t xml:space="preserve"> to reduce the level of TFAs in the food supply </w:t>
      </w:r>
      <w:r w:rsidR="00377080">
        <w:rPr>
          <w:lang w:bidi="ar-SA"/>
        </w:rPr>
        <w:t>w</w:t>
      </w:r>
      <w:r w:rsidR="003A032A">
        <w:rPr>
          <w:lang w:bidi="ar-SA"/>
        </w:rPr>
        <w:t>as</w:t>
      </w:r>
      <w:r w:rsidR="00EC6841">
        <w:rPr>
          <w:lang w:bidi="ar-SA"/>
        </w:rPr>
        <w:t xml:space="preserve"> the most appropriate action and that a review of the outcome of the non-regulatory measures should be undertaken in 2009.</w:t>
      </w:r>
    </w:p>
    <w:p w:rsidR="00580F92" w:rsidRDefault="00580F92" w:rsidP="00580F92">
      <w:pPr>
        <w:pStyle w:val="FSBullet"/>
        <w:numPr>
          <w:ilvl w:val="0"/>
          <w:numId w:val="0"/>
        </w:numPr>
        <w:rPr>
          <w:rFonts w:cs="Times New Roman"/>
          <w:lang w:val="en-NZ" w:eastAsia="en-GB" w:bidi="ar-SA"/>
        </w:rPr>
      </w:pPr>
    </w:p>
    <w:p w:rsidR="00377080" w:rsidRPr="00377080" w:rsidRDefault="00377080" w:rsidP="00377080">
      <w:pPr>
        <w:rPr>
          <w:lang w:val="en-NZ" w:eastAsia="en-GB" w:bidi="ar-SA"/>
        </w:rPr>
      </w:pPr>
      <w:r w:rsidRPr="00377080">
        <w:rPr>
          <w:lang w:val="en-NZ" w:eastAsia="en-GB" w:bidi="ar-SA"/>
        </w:rPr>
        <w:t>Two voluntary initiatives were established in 2006/2007 to support the reduction of manufactured TFAs in the food supply: the Australia New Zealand Collaboration on Trans Fats and the Roundtable on Trans Fats in Quick Service Restaurants</w:t>
      </w:r>
      <w:r>
        <w:rPr>
          <w:lang w:val="en-NZ" w:eastAsia="en-GB" w:bidi="ar-SA"/>
        </w:rPr>
        <w:t xml:space="preserve"> (QSRs)</w:t>
      </w:r>
      <w:r w:rsidRPr="00377080">
        <w:rPr>
          <w:lang w:val="en-NZ" w:eastAsia="en-GB" w:bidi="ar-SA"/>
        </w:rPr>
        <w:t xml:space="preserve">. </w:t>
      </w:r>
    </w:p>
    <w:p w:rsidR="00377080" w:rsidRPr="00377080" w:rsidRDefault="00377080" w:rsidP="00377080">
      <w:pPr>
        <w:rPr>
          <w:lang w:val="en-NZ" w:eastAsia="en-GB" w:bidi="ar-SA"/>
        </w:rPr>
      </w:pPr>
      <w:r w:rsidRPr="00377080">
        <w:rPr>
          <w:lang w:val="en-NZ" w:eastAsia="en-GB" w:bidi="ar-SA"/>
        </w:rPr>
        <w:t xml:space="preserve"> </w:t>
      </w:r>
    </w:p>
    <w:p w:rsidR="00377080" w:rsidRPr="00377080" w:rsidRDefault="00377080" w:rsidP="00377080">
      <w:pPr>
        <w:rPr>
          <w:lang w:val="en-NZ" w:eastAsia="en-GB" w:bidi="ar-SA"/>
        </w:rPr>
      </w:pPr>
      <w:r w:rsidRPr="00377080">
        <w:rPr>
          <w:lang w:val="en-NZ" w:eastAsia="en-GB" w:bidi="ar-SA"/>
        </w:rPr>
        <w:t xml:space="preserve">The Collaboration included representatives from government, public health and industry bodies. It worked on reducing the amount of TFAs in the food supply, without increasing the amount of </w:t>
      </w:r>
      <w:r w:rsidR="00723773">
        <w:rPr>
          <w:lang w:val="en-NZ" w:eastAsia="en-GB" w:bidi="ar-SA"/>
        </w:rPr>
        <w:t>SFAs</w:t>
      </w:r>
      <w:r w:rsidRPr="00377080">
        <w:rPr>
          <w:lang w:val="en-NZ" w:eastAsia="en-GB" w:bidi="ar-SA"/>
        </w:rPr>
        <w:t>. The group also promoted industry and public health initiatives to reduce TFAs and worked on increasing consumer awareness and understanding about TFAs. The broad aim of the Roundtable was to minimise the use of TFAs in quick service meals.</w:t>
      </w:r>
    </w:p>
    <w:p w:rsidR="00377080" w:rsidRPr="00377080" w:rsidRDefault="00377080" w:rsidP="00377080">
      <w:pPr>
        <w:rPr>
          <w:lang w:val="en-NZ" w:eastAsia="en-GB" w:bidi="ar-SA"/>
        </w:rPr>
      </w:pPr>
    </w:p>
    <w:p w:rsidR="00377080" w:rsidRDefault="00377080" w:rsidP="00377080">
      <w:pPr>
        <w:rPr>
          <w:lang w:val="en-NZ" w:eastAsia="en-GB" w:bidi="ar-SA"/>
        </w:rPr>
      </w:pPr>
      <w:r w:rsidRPr="00377080">
        <w:rPr>
          <w:lang w:val="en-NZ" w:eastAsia="en-GB" w:bidi="ar-SA"/>
        </w:rPr>
        <w:t>In 2009 FSANZ reviewed the outcome of non-regulatory measures to reduce TFAs in the food supply, including the work of the Roundtable</w:t>
      </w:r>
      <w:r w:rsidR="006F4D73">
        <w:rPr>
          <w:lang w:val="en-NZ" w:eastAsia="en-GB" w:bidi="ar-SA"/>
        </w:rPr>
        <w:t xml:space="preserve"> and the Collaboration</w:t>
      </w:r>
      <w:r w:rsidR="008D74A7">
        <w:rPr>
          <w:lang w:val="en-NZ" w:eastAsia="en-GB" w:bidi="ar-SA"/>
        </w:rPr>
        <w:t xml:space="preserve"> (FSANZ</w:t>
      </w:r>
      <w:r w:rsidR="00EE147C">
        <w:rPr>
          <w:lang w:val="en-NZ" w:eastAsia="en-GB" w:bidi="ar-SA"/>
        </w:rPr>
        <w:t xml:space="preserve"> 2009)</w:t>
      </w:r>
      <w:r w:rsidRPr="00377080">
        <w:rPr>
          <w:lang w:val="en-NZ" w:eastAsia="en-GB" w:bidi="ar-SA"/>
        </w:rPr>
        <w:t>. The 2009 review</w:t>
      </w:r>
      <w:r w:rsidR="00194677">
        <w:rPr>
          <w:lang w:val="en-NZ" w:eastAsia="en-GB" w:bidi="ar-SA"/>
        </w:rPr>
        <w:t xml:space="preserve"> included the analysis of 456 foods sampled in Australia and New Zealand during 2008/09. It was found that the</w:t>
      </w:r>
      <w:r w:rsidRPr="00377080">
        <w:rPr>
          <w:lang w:val="en-NZ" w:eastAsia="en-GB" w:bidi="ar-SA"/>
        </w:rPr>
        <w:t xml:space="preserve"> intakes of TFAs from manufactured sources </w:t>
      </w:r>
      <w:r w:rsidR="00723773">
        <w:rPr>
          <w:lang w:val="en-NZ" w:eastAsia="en-GB" w:bidi="ar-SA"/>
        </w:rPr>
        <w:t xml:space="preserve">had </w:t>
      </w:r>
      <w:r w:rsidRPr="00377080">
        <w:rPr>
          <w:lang w:val="en-NZ" w:eastAsia="en-GB" w:bidi="ar-SA"/>
        </w:rPr>
        <w:t>decreased in Australia and New Zealand by around 25 to 45 per cent since 2007, reflecting changes in industry practice. This decline is equivalent to around 0.1</w:t>
      </w:r>
      <w:r w:rsidR="000E0625">
        <w:rPr>
          <w:lang w:val="en-NZ" w:eastAsia="en-GB" w:bidi="ar-SA"/>
        </w:rPr>
        <w:t>%</w:t>
      </w:r>
      <w:r>
        <w:rPr>
          <w:lang w:val="en-NZ" w:eastAsia="en-GB" w:bidi="ar-SA"/>
        </w:rPr>
        <w:t xml:space="preserve"> of </w:t>
      </w:r>
      <w:r w:rsidR="007819E4">
        <w:rPr>
          <w:lang w:val="en-NZ" w:eastAsia="en-GB" w:bidi="ar-SA"/>
        </w:rPr>
        <w:t>dietary</w:t>
      </w:r>
      <w:r>
        <w:rPr>
          <w:lang w:val="en-NZ" w:eastAsia="en-GB" w:bidi="ar-SA"/>
        </w:rPr>
        <w:t xml:space="preserve"> energy intake. The me</w:t>
      </w:r>
      <w:r w:rsidR="0096541C">
        <w:rPr>
          <w:lang w:val="en-NZ" w:eastAsia="en-GB" w:bidi="ar-SA"/>
        </w:rPr>
        <w:t xml:space="preserve">an total TFA intake from both </w:t>
      </w:r>
      <w:r w:rsidR="00723773">
        <w:rPr>
          <w:lang w:val="en-NZ" w:eastAsia="en-GB" w:bidi="ar-SA"/>
        </w:rPr>
        <w:t>ruminant</w:t>
      </w:r>
      <w:r w:rsidR="0096541C">
        <w:rPr>
          <w:lang w:val="en-NZ" w:eastAsia="en-GB" w:bidi="ar-SA"/>
        </w:rPr>
        <w:t xml:space="preserve"> and manufactured sources was estimated</w:t>
      </w:r>
      <w:r>
        <w:rPr>
          <w:lang w:val="en-NZ" w:eastAsia="en-GB" w:bidi="ar-SA"/>
        </w:rPr>
        <w:t xml:space="preserve"> </w:t>
      </w:r>
      <w:r w:rsidR="0096541C">
        <w:rPr>
          <w:lang w:val="en-NZ" w:eastAsia="en-GB" w:bidi="ar-SA"/>
        </w:rPr>
        <w:t>to be</w:t>
      </w:r>
      <w:r w:rsidRPr="00377080">
        <w:rPr>
          <w:lang w:val="en-NZ" w:eastAsia="en-GB" w:bidi="ar-SA"/>
        </w:rPr>
        <w:t xml:space="preserve"> </w:t>
      </w:r>
      <w:r w:rsidR="0096541C">
        <w:rPr>
          <w:lang w:val="en-NZ" w:eastAsia="en-GB" w:bidi="ar-SA"/>
        </w:rPr>
        <w:t xml:space="preserve">0.5% and 0.6% of </w:t>
      </w:r>
      <w:r w:rsidR="007819E4">
        <w:rPr>
          <w:lang w:val="en-NZ" w:eastAsia="en-GB" w:bidi="ar-SA"/>
        </w:rPr>
        <w:t>dietary energy intake</w:t>
      </w:r>
      <w:r w:rsidR="0096541C">
        <w:rPr>
          <w:lang w:val="en-NZ" w:eastAsia="en-GB" w:bidi="ar-SA"/>
        </w:rPr>
        <w:t xml:space="preserve"> for Australians and New Zealanders, respectively</w:t>
      </w:r>
      <w:r w:rsidRPr="00377080">
        <w:rPr>
          <w:lang w:val="en-NZ" w:eastAsia="en-GB" w:bidi="ar-SA"/>
        </w:rPr>
        <w:t xml:space="preserve">. It was also found that </w:t>
      </w:r>
      <w:r w:rsidR="00723773">
        <w:rPr>
          <w:lang w:val="en-NZ" w:eastAsia="en-GB" w:bidi="ar-SA"/>
        </w:rPr>
        <w:t>ruminant TFAs</w:t>
      </w:r>
      <w:r w:rsidRPr="00377080">
        <w:rPr>
          <w:lang w:val="en-NZ" w:eastAsia="en-GB" w:bidi="ar-SA"/>
        </w:rPr>
        <w:t xml:space="preserve"> contribute</w:t>
      </w:r>
      <w:r w:rsidR="00723773">
        <w:rPr>
          <w:lang w:val="en-NZ" w:eastAsia="en-GB" w:bidi="ar-SA"/>
        </w:rPr>
        <w:t>d</w:t>
      </w:r>
      <w:r w:rsidRPr="00377080">
        <w:rPr>
          <w:lang w:val="en-NZ" w:eastAsia="en-GB" w:bidi="ar-SA"/>
        </w:rPr>
        <w:t xml:space="preserve"> around 60 to 75</w:t>
      </w:r>
      <w:r w:rsidR="0096541C">
        <w:rPr>
          <w:lang w:val="en-NZ" w:eastAsia="en-GB" w:bidi="ar-SA"/>
        </w:rPr>
        <w:t xml:space="preserve">% </w:t>
      </w:r>
      <w:r w:rsidRPr="00377080">
        <w:rPr>
          <w:lang w:val="en-NZ" w:eastAsia="en-GB" w:bidi="ar-SA"/>
        </w:rPr>
        <w:t xml:space="preserve">of </w:t>
      </w:r>
      <w:r w:rsidR="00723773">
        <w:rPr>
          <w:lang w:val="en-NZ" w:eastAsia="en-GB" w:bidi="ar-SA"/>
        </w:rPr>
        <w:t xml:space="preserve">total </w:t>
      </w:r>
      <w:r w:rsidRPr="00377080">
        <w:rPr>
          <w:lang w:val="en-NZ" w:eastAsia="en-GB" w:bidi="ar-SA"/>
        </w:rPr>
        <w:t>TFA intake.</w:t>
      </w:r>
    </w:p>
    <w:p w:rsidR="00377080" w:rsidRPr="00377080" w:rsidRDefault="00377080" w:rsidP="00377080">
      <w:pPr>
        <w:rPr>
          <w:lang w:val="en-NZ" w:eastAsia="en-GB" w:bidi="ar-SA"/>
        </w:rPr>
      </w:pPr>
    </w:p>
    <w:p w:rsidR="001E0F36" w:rsidRDefault="00377080" w:rsidP="00377080">
      <w:pPr>
        <w:rPr>
          <w:lang w:val="en-NZ" w:eastAsia="en-GB" w:bidi="ar-SA"/>
        </w:rPr>
      </w:pPr>
      <w:r w:rsidRPr="00377080">
        <w:rPr>
          <w:lang w:val="en-NZ" w:eastAsia="en-GB" w:bidi="ar-SA"/>
        </w:rPr>
        <w:t>As a result of these findings, in October 2009 ministers agreed that the non-regula</w:t>
      </w:r>
      <w:r w:rsidR="0096541C">
        <w:rPr>
          <w:lang w:val="en-NZ" w:eastAsia="en-GB" w:bidi="ar-SA"/>
        </w:rPr>
        <w:t xml:space="preserve">tory approach should continue. </w:t>
      </w:r>
      <w:r w:rsidRPr="00377080">
        <w:rPr>
          <w:lang w:val="en-NZ" w:eastAsia="en-GB" w:bidi="ar-SA"/>
        </w:rPr>
        <w:t>Due to the success of voluntary industry initiatives to reduce TFAs in foods</w:t>
      </w:r>
      <w:r w:rsidR="000E0625">
        <w:rPr>
          <w:lang w:val="en-NZ" w:eastAsia="en-GB" w:bidi="ar-SA"/>
        </w:rPr>
        <w:t>,</w:t>
      </w:r>
      <w:r w:rsidRPr="00377080">
        <w:rPr>
          <w:lang w:val="en-NZ" w:eastAsia="en-GB" w:bidi="ar-SA"/>
        </w:rPr>
        <w:t xml:space="preserve"> the Collaboration and Roundtable are no longer active.</w:t>
      </w:r>
    </w:p>
    <w:p w:rsidR="0097052C" w:rsidRDefault="001E0F36" w:rsidP="0097052C">
      <w:pPr>
        <w:pStyle w:val="Heading2"/>
      </w:pPr>
      <w:bookmarkStart w:id="20" w:name="_Toc409699750"/>
      <w:r>
        <w:t>1.6</w:t>
      </w:r>
      <w:r>
        <w:tab/>
      </w:r>
      <w:r w:rsidR="007819E4">
        <w:t>International r</w:t>
      </w:r>
      <w:r w:rsidR="0000484B">
        <w:t>egulatory and non-regulatory approaches</w:t>
      </w:r>
      <w:r w:rsidR="0097052C">
        <w:t xml:space="preserve"> for reducing </w:t>
      </w:r>
      <w:r w:rsidR="0097052C" w:rsidRPr="00903916">
        <w:t>trans</w:t>
      </w:r>
      <w:r w:rsidR="0097052C">
        <w:t xml:space="preserve"> fatty acids</w:t>
      </w:r>
      <w:r w:rsidR="0000484B">
        <w:t xml:space="preserve"> in the food supply</w:t>
      </w:r>
      <w:bookmarkEnd w:id="20"/>
    </w:p>
    <w:p w:rsidR="0097052C" w:rsidRDefault="0097052C" w:rsidP="0097052C">
      <w:pPr>
        <w:rPr>
          <w:lang w:bidi="ar-SA"/>
        </w:rPr>
      </w:pPr>
      <w:r>
        <w:rPr>
          <w:lang w:bidi="ar-SA"/>
        </w:rPr>
        <w:t>Over the last 10 years several countries have introduced a range of regulatory and/or non-regulatory approaches for reducing the TFA content of foods</w:t>
      </w:r>
      <w:r w:rsidR="00F27B8E">
        <w:rPr>
          <w:lang w:bidi="ar-SA"/>
        </w:rPr>
        <w:t xml:space="preserve"> and TFA intake</w:t>
      </w:r>
      <w:r>
        <w:rPr>
          <w:lang w:bidi="ar-SA"/>
        </w:rPr>
        <w:t xml:space="preserve"> (</w:t>
      </w:r>
      <w:proofErr w:type="spellStart"/>
      <w:r>
        <w:rPr>
          <w:lang w:bidi="ar-SA"/>
        </w:rPr>
        <w:t>L’Abbe</w:t>
      </w:r>
      <w:proofErr w:type="spellEnd"/>
      <w:r>
        <w:rPr>
          <w:lang w:bidi="ar-SA"/>
        </w:rPr>
        <w:t xml:space="preserve"> et al. 2009, </w:t>
      </w:r>
      <w:proofErr w:type="spellStart"/>
      <w:r>
        <w:rPr>
          <w:lang w:bidi="ar-SA"/>
        </w:rPr>
        <w:t>Ratnayake</w:t>
      </w:r>
      <w:proofErr w:type="spellEnd"/>
      <w:r>
        <w:rPr>
          <w:lang w:bidi="ar-SA"/>
        </w:rPr>
        <w:t xml:space="preserve"> et al. 2009, </w:t>
      </w:r>
      <w:proofErr w:type="spellStart"/>
      <w:r>
        <w:rPr>
          <w:lang w:bidi="ar-SA"/>
        </w:rPr>
        <w:t>Uauy</w:t>
      </w:r>
      <w:proofErr w:type="spellEnd"/>
      <w:r>
        <w:rPr>
          <w:lang w:bidi="ar-SA"/>
        </w:rPr>
        <w:t xml:space="preserve"> et al. 2009, Downs et al. 2013). </w:t>
      </w:r>
      <w:r w:rsidR="00650B01">
        <w:rPr>
          <w:lang w:bidi="ar-SA"/>
        </w:rPr>
        <w:t xml:space="preserve">Details of </w:t>
      </w:r>
      <w:r w:rsidR="00BE4139">
        <w:rPr>
          <w:lang w:bidi="ar-SA"/>
        </w:rPr>
        <w:t>approaches used in a selection of countries</w:t>
      </w:r>
      <w:r w:rsidR="00650B01">
        <w:rPr>
          <w:lang w:bidi="ar-SA"/>
        </w:rPr>
        <w:t xml:space="preserve"> are </w:t>
      </w:r>
      <w:r w:rsidR="00650B01" w:rsidRPr="00930A1E">
        <w:rPr>
          <w:lang w:bidi="ar-SA"/>
        </w:rPr>
        <w:t>given in Attachment 1 with</w:t>
      </w:r>
      <w:r w:rsidR="00650B01">
        <w:rPr>
          <w:lang w:bidi="ar-SA"/>
        </w:rPr>
        <w:t xml:space="preserve"> a summary provided below. </w:t>
      </w:r>
    </w:p>
    <w:p w:rsidR="00BE4139" w:rsidRDefault="00BE4139" w:rsidP="0097052C">
      <w:pPr>
        <w:rPr>
          <w:lang w:bidi="ar-SA"/>
        </w:rPr>
      </w:pPr>
    </w:p>
    <w:p w:rsidR="00BE4139" w:rsidRDefault="00182618" w:rsidP="0097052C">
      <w:pPr>
        <w:rPr>
          <w:lang w:bidi="ar-SA"/>
        </w:rPr>
      </w:pPr>
      <w:r>
        <w:rPr>
          <w:lang w:bidi="ar-SA"/>
        </w:rPr>
        <w:t>In Canada, a</w:t>
      </w:r>
      <w:r w:rsidR="00BE4139">
        <w:rPr>
          <w:lang w:bidi="ar-SA"/>
        </w:rPr>
        <w:t xml:space="preserve"> combination of regulatory and non-regulatory approaches has been implemented. Mandatory labelling was introduced </w:t>
      </w:r>
      <w:r w:rsidR="00BE4139" w:rsidRPr="00930A1E">
        <w:rPr>
          <w:lang w:bidi="ar-SA"/>
        </w:rPr>
        <w:t>in 2005</w:t>
      </w:r>
      <w:r w:rsidR="00A740A8" w:rsidRPr="00930A1E">
        <w:rPr>
          <w:lang w:bidi="ar-SA"/>
        </w:rPr>
        <w:t xml:space="preserve"> (</w:t>
      </w:r>
      <w:r w:rsidR="006B5AB3" w:rsidRPr="00930A1E">
        <w:rPr>
          <w:lang w:bidi="ar-SA"/>
        </w:rPr>
        <w:t>see section 3.4.3</w:t>
      </w:r>
      <w:r w:rsidR="00A740A8" w:rsidRPr="00930A1E">
        <w:rPr>
          <w:lang w:bidi="ar-SA"/>
        </w:rPr>
        <w:t>)</w:t>
      </w:r>
      <w:r w:rsidR="00BE4139" w:rsidRPr="00930A1E">
        <w:rPr>
          <w:lang w:bidi="ar-SA"/>
        </w:rPr>
        <w:t>.</w:t>
      </w:r>
      <w:r w:rsidR="00BE4139">
        <w:rPr>
          <w:lang w:bidi="ar-SA"/>
        </w:rPr>
        <w:t xml:space="preserve"> </w:t>
      </w:r>
      <w:r w:rsidR="00CB5C7A">
        <w:rPr>
          <w:lang w:bidi="ar-SA"/>
        </w:rPr>
        <w:t xml:space="preserve">In 2007 </w:t>
      </w:r>
      <w:r w:rsidR="00BE4139">
        <w:rPr>
          <w:lang w:bidi="ar-SA"/>
        </w:rPr>
        <w:t>Health Canada adopted</w:t>
      </w:r>
      <w:r w:rsidR="000174FD">
        <w:rPr>
          <w:lang w:bidi="ar-SA"/>
        </w:rPr>
        <w:t xml:space="preserve"> voluntary limits of 2% TFAs of total fat content for vegetable oils and spreadable margarines and 5% TFAs of total fat content </w:t>
      </w:r>
      <w:r w:rsidR="00CB5C7A">
        <w:rPr>
          <w:lang w:bidi="ar-SA"/>
        </w:rPr>
        <w:t xml:space="preserve">for all other foods, excluding foods containing fat exclusively from ruminants. Results from several TFA monitoring surveys undertaken by Health Canada indicate that the TFA content of foods has decreased. In 2008 the </w:t>
      </w:r>
      <w:r w:rsidR="008C2BBA">
        <w:rPr>
          <w:lang w:bidi="ar-SA"/>
        </w:rPr>
        <w:t xml:space="preserve">mean </w:t>
      </w:r>
      <w:r w:rsidR="00CB5C7A">
        <w:rPr>
          <w:lang w:bidi="ar-SA"/>
        </w:rPr>
        <w:t xml:space="preserve">dietary intake of TFAs was estimated to be 1.4% of dietary energy, a decline from </w:t>
      </w:r>
      <w:r w:rsidR="00CB5C7A">
        <w:rPr>
          <w:lang w:bidi="ar-SA"/>
        </w:rPr>
        <w:lastRenderedPageBreak/>
        <w:t>3.7% in the mid 1990’s</w:t>
      </w:r>
      <w:r w:rsidR="007F38E3">
        <w:rPr>
          <w:lang w:bidi="ar-SA"/>
        </w:rPr>
        <w:t xml:space="preserve"> (</w:t>
      </w:r>
      <w:proofErr w:type="spellStart"/>
      <w:r w:rsidR="007F38E3">
        <w:rPr>
          <w:lang w:bidi="ar-SA"/>
        </w:rPr>
        <w:t>Ratanyake</w:t>
      </w:r>
      <w:proofErr w:type="spellEnd"/>
      <w:r w:rsidR="007F38E3">
        <w:rPr>
          <w:lang w:bidi="ar-SA"/>
        </w:rPr>
        <w:t xml:space="preserve"> et al. 2009)</w:t>
      </w:r>
      <w:r w:rsidR="00CB5C7A">
        <w:rPr>
          <w:lang w:bidi="ar-SA"/>
        </w:rPr>
        <w:t xml:space="preserve">. </w:t>
      </w:r>
    </w:p>
    <w:p w:rsidR="00A740A8" w:rsidRDefault="00A740A8" w:rsidP="0097052C">
      <w:pPr>
        <w:rPr>
          <w:lang w:bidi="ar-SA"/>
        </w:rPr>
      </w:pPr>
    </w:p>
    <w:p w:rsidR="00A740A8" w:rsidRPr="00F734E2" w:rsidRDefault="00A740A8" w:rsidP="0097052C">
      <w:pPr>
        <w:rPr>
          <w:lang w:bidi="ar-SA"/>
        </w:rPr>
      </w:pPr>
      <w:r>
        <w:rPr>
          <w:lang w:bidi="ar-SA"/>
        </w:rPr>
        <w:t xml:space="preserve">The USA has also implemented a combination of approaches for reducing the TFA content of foods with mandatory labelling </w:t>
      </w:r>
      <w:r w:rsidR="0045790C">
        <w:rPr>
          <w:lang w:bidi="ar-SA"/>
        </w:rPr>
        <w:t xml:space="preserve">(above certain levels) </w:t>
      </w:r>
      <w:r>
        <w:rPr>
          <w:lang w:bidi="ar-SA"/>
        </w:rPr>
        <w:t>enforced from 2006 and guidelines for consumers and industry being available from 2005.</w:t>
      </w:r>
      <w:r w:rsidR="00157550">
        <w:rPr>
          <w:lang w:bidi="ar-SA"/>
        </w:rPr>
        <w:t xml:space="preserve"> Some states and cities in the USA have also introduced laws or voluntary initiatives. For example, from 1 January 2011, </w:t>
      </w:r>
      <w:r w:rsidR="00157550" w:rsidRPr="000B3E23">
        <w:t>all foods containing 0.5 g or more of manufactured TFAs per serving were banned in California, with the exception of food sold in an original sealed package.</w:t>
      </w:r>
      <w:r w:rsidR="00157550">
        <w:t xml:space="preserve"> Estimates of dietary intake indicate that although population mean intakes have declined, individuals may still consume high levels of TFAs.</w:t>
      </w:r>
      <w:r w:rsidR="00882E56">
        <w:t xml:space="preserve"> </w:t>
      </w:r>
      <w:proofErr w:type="spellStart"/>
      <w:r w:rsidR="00882E56">
        <w:t>Remig</w:t>
      </w:r>
      <w:proofErr w:type="spellEnd"/>
      <w:r w:rsidR="00882E56">
        <w:t xml:space="preserve"> et al. (2010) noted that the threshold labelling approach used in the USA may lead consumers to believing they have consumed no TFAs because foods with less than 0.5 g TFA per serving may be labelled as having 0 g TFA or have no declaration </w:t>
      </w:r>
      <w:r w:rsidR="00882E56" w:rsidRPr="00930A1E">
        <w:t>(</w:t>
      </w:r>
      <w:r w:rsidR="006B5AB3" w:rsidRPr="00930A1E">
        <w:t>see section 3.4.3</w:t>
      </w:r>
      <w:r w:rsidR="00882E56" w:rsidRPr="00930A1E">
        <w:t xml:space="preserve">). </w:t>
      </w:r>
      <w:r w:rsidR="0030269A" w:rsidRPr="00930A1E">
        <w:t>The</w:t>
      </w:r>
      <w:r w:rsidR="0030269A">
        <w:t xml:space="preserve"> Food and Drug Administration </w:t>
      </w:r>
      <w:r w:rsidR="000D2AFB">
        <w:t xml:space="preserve">(USFDA) </w:t>
      </w:r>
      <w:r w:rsidR="0030269A">
        <w:t>is currently considering submissions in response to its preliminary determination that partially hydrogenated oils are no longer ‘generally recognised as safe’</w:t>
      </w:r>
      <w:r w:rsidR="00F27B8E">
        <w:t xml:space="preserve"> (GRAS)</w:t>
      </w:r>
      <w:r w:rsidR="0030269A">
        <w:t>.</w:t>
      </w:r>
      <w:r w:rsidR="0030269A">
        <w:rPr>
          <w:rStyle w:val="FootnoteReference"/>
        </w:rPr>
        <w:footnoteReference w:id="4"/>
      </w:r>
      <w:r w:rsidR="000D2AFB" w:rsidRPr="000D2AFB">
        <w:rPr>
          <w:rFonts w:cs="Arial"/>
        </w:rPr>
        <w:t xml:space="preserve"> </w:t>
      </w:r>
      <w:r w:rsidR="000D2AFB" w:rsidRPr="00EA6D97">
        <w:rPr>
          <w:rStyle w:val="normalchar"/>
          <w:rFonts w:cs="Arial"/>
        </w:rPr>
        <w:t xml:space="preserve">In the USA, any substance intentionally added to food is subject to premarket approval by the USFDA, unless it is </w:t>
      </w:r>
      <w:r w:rsidR="00F27B8E">
        <w:rPr>
          <w:rStyle w:val="normalchar"/>
          <w:rFonts w:cs="Arial"/>
        </w:rPr>
        <w:t>GRAS</w:t>
      </w:r>
      <w:r w:rsidR="000D2AFB" w:rsidRPr="00EA6D97">
        <w:rPr>
          <w:rStyle w:val="normalchar"/>
          <w:rFonts w:cs="Arial"/>
        </w:rPr>
        <w:t xml:space="preserve"> or is otherwise exempt.  </w:t>
      </w:r>
    </w:p>
    <w:p w:rsidR="0097052C" w:rsidRDefault="0097052C" w:rsidP="0097052C"/>
    <w:p w:rsidR="00A6426D" w:rsidRDefault="00A6426D" w:rsidP="00A6426D">
      <w:pPr>
        <w:rPr>
          <w:lang w:bidi="ar-SA"/>
        </w:rPr>
      </w:pPr>
      <w:r>
        <w:t xml:space="preserve">In response to concern with subgroups of the Danish population having a TFA intake of over 5 g/day, in 2003 </w:t>
      </w:r>
      <w:r w:rsidR="000D2AFB">
        <w:t xml:space="preserve">Danish </w:t>
      </w:r>
      <w:r>
        <w:rPr>
          <w:lang w:bidi="ar-SA"/>
        </w:rPr>
        <w:t>legislation was enacted limiting all food products</w:t>
      </w:r>
      <w:r w:rsidRPr="00E7651E">
        <w:rPr>
          <w:lang w:bidi="ar-SA"/>
        </w:rPr>
        <w:t xml:space="preserve"> to less than 2%</w:t>
      </w:r>
      <w:r>
        <w:rPr>
          <w:lang w:bidi="ar-SA"/>
        </w:rPr>
        <w:t xml:space="preserve"> </w:t>
      </w:r>
      <w:r w:rsidRPr="00E7651E">
        <w:rPr>
          <w:lang w:bidi="ar-SA"/>
        </w:rPr>
        <w:t xml:space="preserve">TFA </w:t>
      </w:r>
      <w:r>
        <w:rPr>
          <w:lang w:bidi="ar-SA"/>
        </w:rPr>
        <w:t>of total fa</w:t>
      </w:r>
      <w:r w:rsidRPr="00E7651E">
        <w:rPr>
          <w:lang w:bidi="ar-SA"/>
        </w:rPr>
        <w:t>t</w:t>
      </w:r>
      <w:r w:rsidR="0041645B">
        <w:rPr>
          <w:lang w:bidi="ar-SA"/>
        </w:rPr>
        <w:t xml:space="preserve"> </w:t>
      </w:r>
      <w:r>
        <w:rPr>
          <w:lang w:bidi="ar-SA"/>
        </w:rPr>
        <w:t>(Danish Veterinary and Food Administration 2003).</w:t>
      </w:r>
      <w:r w:rsidRPr="00E7651E">
        <w:rPr>
          <w:lang w:bidi="ar-SA"/>
        </w:rPr>
        <w:t xml:space="preserve"> The requirements do not apply to ruminant TFA</w:t>
      </w:r>
      <w:r>
        <w:rPr>
          <w:lang w:bidi="ar-SA"/>
        </w:rPr>
        <w:t>s</w:t>
      </w:r>
      <w:r w:rsidRPr="00E7651E">
        <w:rPr>
          <w:lang w:bidi="ar-SA"/>
        </w:rPr>
        <w:t>.</w:t>
      </w:r>
      <w:r>
        <w:rPr>
          <w:lang w:bidi="ar-SA"/>
        </w:rPr>
        <w:t xml:space="preserve"> Studies evaluating the impact of legislating limits on the TFA content of food suggested that </w:t>
      </w:r>
      <w:r w:rsidR="007E6F94">
        <w:rPr>
          <w:lang w:bidi="ar-SA"/>
        </w:rPr>
        <w:t xml:space="preserve">manufactured </w:t>
      </w:r>
      <w:r>
        <w:rPr>
          <w:lang w:bidi="ar-SA"/>
        </w:rPr>
        <w:t xml:space="preserve">TFA intake was close to zero </w:t>
      </w:r>
      <w:r w:rsidR="00586072">
        <w:rPr>
          <w:lang w:bidi="ar-SA"/>
        </w:rPr>
        <w:t xml:space="preserve">in 2006 </w:t>
      </w:r>
      <w:r>
        <w:rPr>
          <w:lang w:bidi="ar-SA"/>
        </w:rPr>
        <w:t>(</w:t>
      </w:r>
      <w:proofErr w:type="spellStart"/>
      <w:r>
        <w:rPr>
          <w:lang w:bidi="ar-SA"/>
        </w:rPr>
        <w:t>L’Abbe</w:t>
      </w:r>
      <w:proofErr w:type="spellEnd"/>
      <w:r>
        <w:rPr>
          <w:lang w:bidi="ar-SA"/>
        </w:rPr>
        <w:t xml:space="preserve"> et al. 2009, Downs et al. 2013</w:t>
      </w:r>
      <w:r w:rsidRPr="008673C5">
        <w:rPr>
          <w:lang w:bidi="ar-SA"/>
        </w:rPr>
        <w:t>).</w:t>
      </w:r>
      <w:r w:rsidR="00464D86" w:rsidRPr="008673C5">
        <w:rPr>
          <w:lang w:bidi="ar-SA"/>
        </w:rPr>
        <w:t xml:space="preserve"> </w:t>
      </w:r>
      <w:r w:rsidR="00C25800" w:rsidRPr="008673C5">
        <w:rPr>
          <w:lang w:bidi="ar-SA"/>
        </w:rPr>
        <w:t xml:space="preserve">In earlier FSANZ reviews of TFAs and in the current analytical survey, </w:t>
      </w:r>
      <w:r w:rsidR="00464D86" w:rsidRPr="008673C5">
        <w:rPr>
          <w:lang w:bidi="ar-SA"/>
        </w:rPr>
        <w:t xml:space="preserve">FSANZ </w:t>
      </w:r>
      <w:r w:rsidR="00C25800" w:rsidRPr="008673C5">
        <w:rPr>
          <w:lang w:bidi="ar-SA"/>
        </w:rPr>
        <w:t>has compared</w:t>
      </w:r>
      <w:r w:rsidR="00464D86" w:rsidRPr="008673C5">
        <w:rPr>
          <w:lang w:bidi="ar-SA"/>
        </w:rPr>
        <w:t xml:space="preserve"> TFA concentrations in foods sampled in Australia and New Zealand</w:t>
      </w:r>
      <w:r w:rsidR="00C25800" w:rsidRPr="008673C5">
        <w:rPr>
          <w:lang w:bidi="ar-SA"/>
        </w:rPr>
        <w:t xml:space="preserve"> with the Danish limit since the mean population intake of TFAs in Denmark in 2003 was around 1% dietary energy, which was closer to the estimated population intakes in Australia and New Zealand than those in other countries.</w:t>
      </w:r>
    </w:p>
    <w:p w:rsidR="00A15FC8" w:rsidRDefault="00A15FC8" w:rsidP="00A6426D">
      <w:pPr>
        <w:rPr>
          <w:lang w:bidi="ar-SA"/>
        </w:rPr>
      </w:pPr>
    </w:p>
    <w:p w:rsidR="00A15FC8" w:rsidRDefault="00445291" w:rsidP="00A6426D">
      <w:r>
        <w:rPr>
          <w:lang w:bidi="ar-SA"/>
        </w:rPr>
        <w:t>In the UK in the mid 1990’s a</w:t>
      </w:r>
      <w:r w:rsidR="00A15FC8">
        <w:rPr>
          <w:lang w:bidi="ar-SA"/>
        </w:rPr>
        <w:t xml:space="preserve"> voluntary approach </w:t>
      </w:r>
      <w:r>
        <w:rPr>
          <w:lang w:bidi="ar-SA"/>
        </w:rPr>
        <w:t>was</w:t>
      </w:r>
      <w:r w:rsidR="00A15FC8">
        <w:rPr>
          <w:lang w:bidi="ar-SA"/>
        </w:rPr>
        <w:t xml:space="preserve"> implemented to reduce the TFA content of foods. </w:t>
      </w:r>
      <w:r w:rsidR="007D3ED0">
        <w:rPr>
          <w:lang w:bidi="ar-SA"/>
        </w:rPr>
        <w:t xml:space="preserve">In 1994, the </w:t>
      </w:r>
      <w:r w:rsidR="007D3ED0">
        <w:t xml:space="preserve">Committee on Medical Aspects of Food and Nutrition Policy (COMA) recommended average population TFA intakes should not exceed 2% of </w:t>
      </w:r>
      <w:r w:rsidR="00F1136C">
        <w:t>dietary</w:t>
      </w:r>
      <w:r w:rsidR="007D3ED0">
        <w:t xml:space="preserve"> energy (Department of Health 1994)</w:t>
      </w:r>
      <w:r w:rsidR="003F1479">
        <w:t>,</w:t>
      </w:r>
      <w:r w:rsidR="007D3ED0">
        <w:t xml:space="preserve"> which remains in place. More recently the UK Department of Health established the Public Health Responsibility Deal</w:t>
      </w:r>
      <w:r w:rsidR="007D3ED0">
        <w:rPr>
          <w:rStyle w:val="FootnoteReference"/>
        </w:rPr>
        <w:footnoteReference w:id="5"/>
      </w:r>
      <w:r w:rsidR="007D3ED0">
        <w:t xml:space="preserve"> whereby businesses and organisations can sign up to one of two collective pledges about TFA reduction. A recent estimate of the mean TFA intake using 2010/2011 data is 0.6-0.7% of </w:t>
      </w:r>
      <w:r w:rsidR="00F1136C">
        <w:t xml:space="preserve">dietary </w:t>
      </w:r>
      <w:r w:rsidR="007D3ED0">
        <w:t>energy for all age groups which reflects the decrease in TFA content of processed food over time (Bates et al. 2014, UK Department of Health 2013). As in other EU countries, there is no requirement for mandatory labelling of TFAs.</w:t>
      </w:r>
    </w:p>
    <w:p w:rsidR="007D3ED0" w:rsidRDefault="007D3ED0" w:rsidP="00A6426D"/>
    <w:p w:rsidR="00A6426D" w:rsidRDefault="007D3ED0" w:rsidP="0097052C">
      <w:pPr>
        <w:rPr>
          <w:lang w:bidi="ar-SA"/>
        </w:rPr>
      </w:pPr>
      <w:r>
        <w:rPr>
          <w:lang w:bidi="ar-SA"/>
        </w:rPr>
        <w:t xml:space="preserve">The European Commission is to complete a report on the presence of TFA in foods and in the overall diet of the EU population by 13 December 2014. The aim of the report is to </w:t>
      </w:r>
      <w:r w:rsidRPr="000A110C">
        <w:rPr>
          <w:i/>
          <w:lang w:bidi="ar-SA"/>
        </w:rPr>
        <w:t>assess the impact of appropriate means that could enable consumers</w:t>
      </w:r>
      <w:r>
        <w:rPr>
          <w:i/>
          <w:lang w:bidi="ar-SA"/>
        </w:rPr>
        <w:t xml:space="preserve"> to make healthier food and overall dietary choices or that could promote the provision of healthier food options to consumers, including among others, the provision of information on trans fats to consumers or restrictions on their use</w:t>
      </w:r>
      <w:r>
        <w:rPr>
          <w:lang w:bidi="ar-SA"/>
        </w:rPr>
        <w:t>.</w:t>
      </w:r>
      <w:r>
        <w:rPr>
          <w:rStyle w:val="FootnoteReference"/>
          <w:lang w:bidi="ar-SA"/>
        </w:rPr>
        <w:footnoteReference w:id="6"/>
      </w:r>
      <w:r>
        <w:rPr>
          <w:lang w:bidi="ar-SA"/>
        </w:rPr>
        <w:t xml:space="preserve"> A legislative proposal, which could include mandatory labelling or restrictions in the use of TFAs, may be included, if appropriate.</w:t>
      </w:r>
    </w:p>
    <w:p w:rsidR="00EC3438" w:rsidRDefault="00EC3438" w:rsidP="00EC3438">
      <w:pPr>
        <w:pStyle w:val="Heading2"/>
      </w:pPr>
      <w:bookmarkStart w:id="21" w:name="_Toc409699751"/>
      <w:r w:rsidRPr="00CE1D03">
        <w:lastRenderedPageBreak/>
        <w:t>1.7</w:t>
      </w:r>
      <w:r w:rsidRPr="00CE1D03">
        <w:tab/>
        <w:t>Current labelling requirements in Australia and New Zealand</w:t>
      </w:r>
      <w:bookmarkEnd w:id="21"/>
    </w:p>
    <w:p w:rsidR="0066613C" w:rsidRDefault="0066613C" w:rsidP="00EC3438">
      <w:r>
        <w:t xml:space="preserve">The Code permits voluntary declarations of TFA content in the NIP. Declaration of TFA content is mandatory in the NIP when specific nutrition content claims or health claims are made. </w:t>
      </w:r>
      <w:r w:rsidRPr="00930A1E">
        <w:t>Refer to section 3.4.3 and Attachment 2</w:t>
      </w:r>
      <w:r>
        <w:t xml:space="preserve"> for further details.</w:t>
      </w:r>
    </w:p>
    <w:p w:rsidR="001E3158" w:rsidRDefault="0097052C" w:rsidP="0097052C">
      <w:pPr>
        <w:pStyle w:val="Heading1"/>
      </w:pPr>
      <w:bookmarkStart w:id="22" w:name="_Toc378157298"/>
      <w:bookmarkStart w:id="23" w:name="_Toc409699752"/>
      <w:r>
        <w:t>2</w:t>
      </w:r>
      <w:r>
        <w:tab/>
      </w:r>
      <w:r w:rsidR="00B8400D" w:rsidRPr="0097052C">
        <w:t>Project</w:t>
      </w:r>
      <w:r w:rsidR="007B30E2">
        <w:t xml:space="preserve"> </w:t>
      </w:r>
      <w:r w:rsidR="00AE455C" w:rsidRPr="002B194A">
        <w:t>objectives</w:t>
      </w:r>
      <w:r w:rsidR="000020E6">
        <w:t xml:space="preserve"> and approach</w:t>
      </w:r>
      <w:bookmarkEnd w:id="22"/>
      <w:bookmarkEnd w:id="23"/>
    </w:p>
    <w:p w:rsidR="001E2A8C" w:rsidRDefault="00E7256C" w:rsidP="0097052C">
      <w:pPr>
        <w:rPr>
          <w:lang w:bidi="ar-SA"/>
        </w:rPr>
      </w:pPr>
      <w:r>
        <w:rPr>
          <w:lang w:bidi="ar-SA"/>
        </w:rPr>
        <w:t xml:space="preserve">The </w:t>
      </w:r>
      <w:r w:rsidR="00D55414">
        <w:rPr>
          <w:lang w:bidi="ar-SA"/>
        </w:rPr>
        <w:t xml:space="preserve">main </w:t>
      </w:r>
      <w:r>
        <w:rPr>
          <w:lang w:bidi="ar-SA"/>
        </w:rPr>
        <w:t xml:space="preserve">objective of </w:t>
      </w:r>
      <w:r w:rsidR="00D55414">
        <w:rPr>
          <w:lang w:bidi="ar-SA"/>
        </w:rPr>
        <w:t xml:space="preserve">this </w:t>
      </w:r>
      <w:r>
        <w:rPr>
          <w:lang w:bidi="ar-SA"/>
        </w:rPr>
        <w:t xml:space="preserve">project was to </w:t>
      </w:r>
      <w:r w:rsidR="00D55414">
        <w:rPr>
          <w:lang w:bidi="ar-SA"/>
        </w:rPr>
        <w:t xml:space="preserve">determine </w:t>
      </w:r>
      <w:r w:rsidR="00873D2B">
        <w:rPr>
          <w:lang w:bidi="ar-SA"/>
        </w:rPr>
        <w:t>the current levels of TFAs in the Australian and New Zealand food supply</w:t>
      </w:r>
      <w:r w:rsidR="003F1479">
        <w:rPr>
          <w:lang w:bidi="ar-SA"/>
        </w:rPr>
        <w:t>,</w:t>
      </w:r>
      <w:r w:rsidR="0097052C">
        <w:rPr>
          <w:lang w:bidi="ar-SA"/>
        </w:rPr>
        <w:t xml:space="preserve"> including </w:t>
      </w:r>
      <w:r w:rsidR="00D55414">
        <w:rPr>
          <w:lang w:bidi="ar-SA"/>
        </w:rPr>
        <w:t xml:space="preserve">whether </w:t>
      </w:r>
      <w:r w:rsidR="001E2A8C">
        <w:rPr>
          <w:lang w:bidi="ar-SA"/>
        </w:rPr>
        <w:t xml:space="preserve">there has been a change from the results of </w:t>
      </w:r>
      <w:r w:rsidR="0097052C">
        <w:rPr>
          <w:lang w:bidi="ar-SA"/>
        </w:rPr>
        <w:t>FSANZ 2009</w:t>
      </w:r>
      <w:r w:rsidR="001E2A8C">
        <w:rPr>
          <w:lang w:bidi="ar-SA"/>
        </w:rPr>
        <w:t xml:space="preserve"> review of </w:t>
      </w:r>
      <w:r w:rsidR="00D55414">
        <w:rPr>
          <w:lang w:bidi="ar-SA"/>
        </w:rPr>
        <w:t>TFAs</w:t>
      </w:r>
      <w:r w:rsidR="0097052C">
        <w:rPr>
          <w:lang w:bidi="ar-SA"/>
        </w:rPr>
        <w:t xml:space="preserve">. </w:t>
      </w:r>
    </w:p>
    <w:p w:rsidR="003340CD" w:rsidRDefault="003340CD" w:rsidP="00EF2E48">
      <w:pPr>
        <w:rPr>
          <w:lang w:bidi="ar-SA"/>
        </w:rPr>
      </w:pPr>
    </w:p>
    <w:p w:rsidR="00EF2E48" w:rsidRDefault="00D55414" w:rsidP="00EF2E48">
      <w:pPr>
        <w:rPr>
          <w:lang w:bidi="ar-SA"/>
        </w:rPr>
      </w:pPr>
      <w:r>
        <w:rPr>
          <w:lang w:bidi="ar-SA"/>
        </w:rPr>
        <w:t>In addressing this objective FSANZ has undertaken the following activities:</w:t>
      </w:r>
    </w:p>
    <w:p w:rsidR="00C0061A" w:rsidRDefault="00C0061A" w:rsidP="00EF2E48">
      <w:pPr>
        <w:rPr>
          <w:lang w:bidi="ar-SA"/>
        </w:rPr>
      </w:pPr>
    </w:p>
    <w:p w:rsidR="00C0061A" w:rsidRDefault="00C0061A" w:rsidP="00D66ECB">
      <w:pPr>
        <w:pStyle w:val="ListParagraph"/>
        <w:numPr>
          <w:ilvl w:val="0"/>
          <w:numId w:val="6"/>
        </w:numPr>
        <w:ind w:left="567" w:hanging="567"/>
      </w:pPr>
      <w:r>
        <w:t>an analytical survey, coordinated by the Implementation Subcommittee for Food Regulation (ISFR), of the TFA content of New Zealand and Australian foods</w:t>
      </w:r>
    </w:p>
    <w:p w:rsidR="00C0061A" w:rsidRDefault="00C0061A" w:rsidP="00D66ECB">
      <w:pPr>
        <w:pStyle w:val="ListParagraph"/>
        <w:numPr>
          <w:ilvl w:val="0"/>
          <w:numId w:val="6"/>
        </w:numPr>
        <w:ind w:left="567" w:hanging="567"/>
      </w:pPr>
      <w:r>
        <w:t>an industry survey on initiatives to reduce TFAs in products</w:t>
      </w:r>
    </w:p>
    <w:p w:rsidR="00C0061A" w:rsidRDefault="00C0061A" w:rsidP="00D66ECB">
      <w:pPr>
        <w:pStyle w:val="ListParagraph"/>
        <w:numPr>
          <w:ilvl w:val="0"/>
          <w:numId w:val="6"/>
        </w:numPr>
        <w:ind w:left="567" w:hanging="567"/>
      </w:pPr>
      <w:r>
        <w:t xml:space="preserve">two commissioned literature reviews on the health effects of TFAs: a systematic literature review on the relationship between intake of TFAs and blood cholesterol levels and a narrative review of the relationship between TFA intake and other </w:t>
      </w:r>
      <w:r w:rsidR="00AA3440">
        <w:t xml:space="preserve">possible </w:t>
      </w:r>
      <w:r>
        <w:t>adverse outcomes including cancer and type 2 diabetes</w:t>
      </w:r>
    </w:p>
    <w:p w:rsidR="00C0061A" w:rsidRDefault="003F1479" w:rsidP="00D66ECB">
      <w:pPr>
        <w:pStyle w:val="ListParagraph"/>
        <w:numPr>
          <w:ilvl w:val="0"/>
          <w:numId w:val="6"/>
        </w:numPr>
        <w:ind w:left="567" w:hanging="567"/>
      </w:pPr>
      <w:r>
        <w:t xml:space="preserve">a </w:t>
      </w:r>
      <w:r w:rsidR="00C0061A">
        <w:t>compar</w:t>
      </w:r>
      <w:r>
        <w:t>ison of</w:t>
      </w:r>
      <w:r w:rsidR="00C0061A">
        <w:t xml:space="preserve"> current provisions in the </w:t>
      </w:r>
      <w:r w:rsidR="00C0061A" w:rsidRPr="00C0061A">
        <w:rPr>
          <w:i/>
        </w:rPr>
        <w:t>Australia New Zealand Food Standards Code</w:t>
      </w:r>
      <w:r w:rsidR="00C0061A">
        <w:t xml:space="preserve"> (Code) for the declaration of TFA content on food labels with those in the USA, Canada and the EU</w:t>
      </w:r>
    </w:p>
    <w:p w:rsidR="00D55414" w:rsidRDefault="00C0061A" w:rsidP="00D66ECB">
      <w:pPr>
        <w:pStyle w:val="ListParagraph"/>
        <w:numPr>
          <w:ilvl w:val="0"/>
          <w:numId w:val="6"/>
        </w:numPr>
        <w:ind w:left="567" w:hanging="567"/>
      </w:pPr>
      <w:r>
        <w:t>consider</w:t>
      </w:r>
      <w:r w:rsidR="003F1479">
        <w:t>ation of</w:t>
      </w:r>
      <w:r>
        <w:t xml:space="preserve"> technical issues related to the declaration of TFA content on food labels in Australia and New Zealand, including the threshold approach.</w:t>
      </w:r>
    </w:p>
    <w:p w:rsidR="007B30E2" w:rsidRDefault="00F91B6E" w:rsidP="00D66ECB">
      <w:pPr>
        <w:pStyle w:val="Heading1"/>
        <w:numPr>
          <w:ilvl w:val="0"/>
          <w:numId w:val="5"/>
        </w:numPr>
        <w:ind w:left="851" w:hanging="851"/>
      </w:pPr>
      <w:bookmarkStart w:id="24" w:name="_Toc378157299"/>
      <w:bookmarkStart w:id="25" w:name="_Toc409699753"/>
      <w:r w:rsidRPr="002B194A">
        <w:t>Analysis</w:t>
      </w:r>
      <w:r>
        <w:t xml:space="preserve"> of issues</w:t>
      </w:r>
      <w:bookmarkEnd w:id="24"/>
      <w:bookmarkEnd w:id="25"/>
    </w:p>
    <w:p w:rsidR="00BB5407" w:rsidRDefault="005B36FD" w:rsidP="002C2483">
      <w:pPr>
        <w:pStyle w:val="Heading2"/>
      </w:pPr>
      <w:bookmarkStart w:id="26" w:name="_Toc378157300"/>
      <w:bookmarkStart w:id="27" w:name="_Toc409699754"/>
      <w:r>
        <w:t>3</w:t>
      </w:r>
      <w:r w:rsidR="002B194A">
        <w:t>.1</w:t>
      </w:r>
      <w:r w:rsidR="002B194A">
        <w:tab/>
      </w:r>
      <w:bookmarkEnd w:id="26"/>
      <w:r w:rsidR="0036694F" w:rsidRPr="00903916">
        <w:t>Trans</w:t>
      </w:r>
      <w:r w:rsidR="0036694F">
        <w:t xml:space="preserve"> fatty acids in the Australian and New Zealand food supply</w:t>
      </w:r>
      <w:bookmarkEnd w:id="27"/>
    </w:p>
    <w:p w:rsidR="008B74B1" w:rsidRPr="00081BA8" w:rsidRDefault="0036694F" w:rsidP="00613D6A">
      <w:pPr>
        <w:pStyle w:val="Heading3"/>
      </w:pPr>
      <w:r>
        <w:t>3.1.1</w:t>
      </w:r>
      <w:r>
        <w:tab/>
      </w:r>
      <w:r w:rsidR="00C02296">
        <w:t>ISFR</w:t>
      </w:r>
      <w:r w:rsidR="006C1693">
        <w:t xml:space="preserve"> coordinated a</w:t>
      </w:r>
      <w:r w:rsidR="007E4CE1">
        <w:t>nalytical</w:t>
      </w:r>
      <w:r w:rsidR="006C1693">
        <w:t xml:space="preserve"> s</w:t>
      </w:r>
      <w:r>
        <w:t>urvey</w:t>
      </w:r>
    </w:p>
    <w:p w:rsidR="008B74B1" w:rsidRDefault="008B74B1" w:rsidP="008B74B1">
      <w:pPr>
        <w:rPr>
          <w:rFonts w:cs="Arial"/>
          <w:color w:val="000000"/>
          <w:lang w:val="en-AU"/>
        </w:rPr>
      </w:pPr>
      <w:r>
        <w:rPr>
          <w:rFonts w:cs="Arial"/>
          <w:color w:val="000000"/>
          <w:lang w:val="en-AU"/>
        </w:rPr>
        <w:t xml:space="preserve">The aim </w:t>
      </w:r>
      <w:r w:rsidR="00613D6A">
        <w:rPr>
          <w:rFonts w:cs="Arial"/>
          <w:color w:val="000000"/>
          <w:lang w:val="en-AU"/>
        </w:rPr>
        <w:t>of the</w:t>
      </w:r>
      <w:r w:rsidRPr="00081BA8">
        <w:rPr>
          <w:rFonts w:cs="Arial"/>
          <w:color w:val="000000"/>
          <w:lang w:val="en-AU"/>
        </w:rPr>
        <w:t xml:space="preserve"> a</w:t>
      </w:r>
      <w:r w:rsidR="00613D6A">
        <w:rPr>
          <w:rFonts w:cs="Arial"/>
          <w:color w:val="000000"/>
          <w:lang w:val="en-AU"/>
        </w:rPr>
        <w:t>nalytical survey was</w:t>
      </w:r>
      <w:r>
        <w:rPr>
          <w:rFonts w:cs="Arial"/>
          <w:color w:val="000000"/>
          <w:lang w:val="en-AU"/>
        </w:rPr>
        <w:t xml:space="preserve"> to establish</w:t>
      </w:r>
      <w:r w:rsidRPr="00081BA8">
        <w:rPr>
          <w:rFonts w:cs="Arial"/>
          <w:color w:val="000000"/>
          <w:lang w:val="en-AU"/>
        </w:rPr>
        <w:t xml:space="preserve"> the current levels of TFA</w:t>
      </w:r>
      <w:r w:rsidR="00613D6A">
        <w:rPr>
          <w:rFonts w:cs="Arial"/>
          <w:color w:val="000000"/>
          <w:lang w:val="en-AU"/>
        </w:rPr>
        <w:t>s</w:t>
      </w:r>
      <w:r w:rsidRPr="00081BA8">
        <w:rPr>
          <w:rFonts w:cs="Arial"/>
          <w:color w:val="000000"/>
          <w:lang w:val="en-AU"/>
        </w:rPr>
        <w:t xml:space="preserve"> in a range of processed and takeaway foods available</w:t>
      </w:r>
      <w:r>
        <w:rPr>
          <w:rFonts w:cs="Arial"/>
          <w:color w:val="000000"/>
          <w:lang w:val="en-AU"/>
        </w:rPr>
        <w:t xml:space="preserve"> in Australia and New Zealand. </w:t>
      </w:r>
      <w:r w:rsidR="00613D6A">
        <w:rPr>
          <w:rFonts w:cs="Arial"/>
          <w:color w:val="000000"/>
          <w:lang w:val="en-AU"/>
        </w:rPr>
        <w:t xml:space="preserve">Details of this survey are in </w:t>
      </w:r>
      <w:r w:rsidR="00613D6A" w:rsidRPr="00930A1E">
        <w:rPr>
          <w:rFonts w:cs="Arial"/>
          <w:color w:val="000000"/>
          <w:lang w:val="en-AU"/>
        </w:rPr>
        <w:t>Supporting Document 1,</w:t>
      </w:r>
      <w:r w:rsidR="00613D6A">
        <w:rPr>
          <w:rFonts w:cs="Arial"/>
          <w:color w:val="000000"/>
          <w:lang w:val="en-AU"/>
        </w:rPr>
        <w:t xml:space="preserve"> with a summary of key aspects of the methodology and the key findings provided below.</w:t>
      </w:r>
    </w:p>
    <w:p w:rsidR="008B74B1" w:rsidRPr="00AB7C35" w:rsidRDefault="008B74B1" w:rsidP="008B74B1">
      <w:pPr>
        <w:rPr>
          <w:rFonts w:cs="Arial"/>
          <w:i/>
          <w:color w:val="000000"/>
          <w:lang w:val="en-AU"/>
        </w:rPr>
      </w:pPr>
    </w:p>
    <w:p w:rsidR="008B74B1" w:rsidRPr="00081BA8" w:rsidRDefault="008B74B1" w:rsidP="008B74B1">
      <w:r w:rsidRPr="00081BA8">
        <w:t xml:space="preserve">A total of 500 </w:t>
      </w:r>
      <w:r w:rsidRPr="00181CB2">
        <w:t xml:space="preserve">samples from </w:t>
      </w:r>
      <w:r>
        <w:t>39</w:t>
      </w:r>
      <w:r w:rsidRPr="00181CB2">
        <w:t xml:space="preserve"> different </w:t>
      </w:r>
      <w:r>
        <w:t>product categories</w:t>
      </w:r>
      <w:r w:rsidRPr="00081BA8">
        <w:t xml:space="preserve"> were collected from New South Wales, Western Australia, New Zealand, South Australia, Tasmania, Queensland and Victoria, over a two week period in October 2013.</w:t>
      </w:r>
      <w:r>
        <w:t xml:space="preserve"> </w:t>
      </w:r>
      <w:r w:rsidRPr="0069332D">
        <w:t xml:space="preserve">Samples were selected to include </w:t>
      </w:r>
      <w:r w:rsidR="00AF4F70">
        <w:t>different</w:t>
      </w:r>
      <w:r w:rsidRPr="0069332D">
        <w:t xml:space="preserve"> quality </w:t>
      </w:r>
      <w:r w:rsidR="00AF4F70">
        <w:t xml:space="preserve">products </w:t>
      </w:r>
      <w:r w:rsidRPr="0069332D">
        <w:t xml:space="preserve">and </w:t>
      </w:r>
      <w:r w:rsidR="00AF4F70">
        <w:t>different prices in</w:t>
      </w:r>
      <w:r w:rsidRPr="0069332D">
        <w:t xml:space="preserve"> each </w:t>
      </w:r>
      <w:r>
        <w:t>product category</w:t>
      </w:r>
      <w:r w:rsidRPr="0069332D">
        <w:t xml:space="preserve">, from lower priced </w:t>
      </w:r>
      <w:r w:rsidR="00ED54A0">
        <w:t>private label</w:t>
      </w:r>
      <w:r w:rsidRPr="0069332D">
        <w:t xml:space="preserve"> products to more expensive products. </w:t>
      </w:r>
      <w:r w:rsidRPr="00081BA8">
        <w:t xml:space="preserve">The range of </w:t>
      </w:r>
      <w:r>
        <w:t>product categories</w:t>
      </w:r>
      <w:r w:rsidRPr="00081BA8">
        <w:t xml:space="preserve"> tested in the survey included takeaway foods, fats and oils, snack foods, meat products, and bakery products. Analytical measurements were conducted by three separate laboratories using validated methods for the measurement of TFA</w:t>
      </w:r>
      <w:r w:rsidR="00D42457">
        <w:t>s</w:t>
      </w:r>
      <w:r w:rsidRPr="00081BA8">
        <w:t xml:space="preserve"> in foods. </w:t>
      </w:r>
    </w:p>
    <w:p w:rsidR="008B74B1" w:rsidRDefault="008B74B1" w:rsidP="008B74B1"/>
    <w:p w:rsidR="008B74B1" w:rsidRPr="008234DB" w:rsidRDefault="008B74B1" w:rsidP="008B74B1">
      <w:r w:rsidRPr="008234DB">
        <w:t>The sampl</w:t>
      </w:r>
      <w:r>
        <w:t>ing plan attempted to reflect</w:t>
      </w:r>
      <w:r w:rsidRPr="008234DB">
        <w:t xml:space="preserve"> food products and categories sampled in 200</w:t>
      </w:r>
      <w:r>
        <w:t>8</w:t>
      </w:r>
      <w:r w:rsidR="00AF4F70">
        <w:t>/</w:t>
      </w:r>
      <w:r>
        <w:t>0</w:t>
      </w:r>
      <w:r w:rsidRPr="008234DB">
        <w:t>9 to facilitate a direct comparison of TFA levels where possible. However</w:t>
      </w:r>
      <w:r>
        <w:t>, some modifications to the 2008/09</w:t>
      </w:r>
      <w:r w:rsidRPr="008234DB">
        <w:t xml:space="preserve"> sampling plan were made </w:t>
      </w:r>
      <w:r w:rsidR="00A6443C">
        <w:t>based on</w:t>
      </w:r>
      <w:r w:rsidRPr="008234DB">
        <w:t xml:space="preserve"> previous results to remove foods that contributed only a low </w:t>
      </w:r>
      <w:r w:rsidRPr="00EC3438">
        <w:t>amount of total fat to the diet, and</w:t>
      </w:r>
      <w:r w:rsidRPr="008234DB">
        <w:t xml:space="preserve"> to reduce unnecessary duplication of samples. Some foods were also added to the sampling plan where the </w:t>
      </w:r>
      <w:r>
        <w:t xml:space="preserve">2013 </w:t>
      </w:r>
      <w:r w:rsidRPr="008234DB">
        <w:t xml:space="preserve">FSANZ </w:t>
      </w:r>
      <w:r>
        <w:lastRenderedPageBreak/>
        <w:t>industry</w:t>
      </w:r>
      <w:r w:rsidRPr="008234DB">
        <w:t xml:space="preserve"> survey or international studies identified </w:t>
      </w:r>
      <w:r>
        <w:t>that these foods were</w:t>
      </w:r>
      <w:r w:rsidRPr="008234DB">
        <w:t xml:space="preserve"> high in total fat and TFA</w:t>
      </w:r>
      <w:r w:rsidR="00D42457">
        <w:t>s</w:t>
      </w:r>
      <w:r w:rsidRPr="008234DB">
        <w:t xml:space="preserve">.  </w:t>
      </w:r>
    </w:p>
    <w:p w:rsidR="008B74B1" w:rsidRPr="008234DB" w:rsidRDefault="008B74B1" w:rsidP="008B74B1"/>
    <w:p w:rsidR="008B74B1" w:rsidRDefault="008B74B1" w:rsidP="008B74B1">
      <w:r w:rsidRPr="00081BA8">
        <w:t>TFA</w:t>
      </w:r>
      <w:r w:rsidR="00D42457">
        <w:t>s were</w:t>
      </w:r>
      <w:r>
        <w:t xml:space="preserve"> detected in 36 of the 39 product categories </w:t>
      </w:r>
      <w:r w:rsidRPr="00081BA8">
        <w:t xml:space="preserve">analysed. </w:t>
      </w:r>
      <w:r w:rsidR="00976B4B">
        <w:t>The h</w:t>
      </w:r>
      <w:r w:rsidRPr="00081BA8">
        <w:t>ighest median concentrations of TFA</w:t>
      </w:r>
      <w:r w:rsidR="00D42457">
        <w:t>s</w:t>
      </w:r>
      <w:r w:rsidRPr="00081BA8">
        <w:t xml:space="preserve"> were found </w:t>
      </w:r>
      <w:r>
        <w:t xml:space="preserve">in </w:t>
      </w:r>
      <w:r w:rsidRPr="00081BA8">
        <w:t>edible oil spreads</w:t>
      </w:r>
      <w:r>
        <w:t>,</w:t>
      </w:r>
      <w:r w:rsidRPr="00081BA8">
        <w:t xml:space="preserve"> vegetable oils, croissants, custard baked goods, and prepared pastry. TFA</w:t>
      </w:r>
      <w:r w:rsidR="00D42457">
        <w:t>s were</w:t>
      </w:r>
      <w:r w:rsidRPr="00081BA8">
        <w:t xml:space="preserve"> not detected in pikelets/pancakes, snack bars and toasted style muesli. Whil</w:t>
      </w:r>
      <w:r w:rsidR="00AF4F70">
        <w:t>e</w:t>
      </w:r>
      <w:r w:rsidRPr="00081BA8">
        <w:t xml:space="preserve"> TFA</w:t>
      </w:r>
      <w:r w:rsidR="00D42457">
        <w:t>s were</w:t>
      </w:r>
      <w:r w:rsidRPr="00081BA8">
        <w:t xml:space="preserve"> detec</w:t>
      </w:r>
      <w:r w:rsidR="00976B4B">
        <w:t xml:space="preserve">ted in most product categories, </w:t>
      </w:r>
      <w:r w:rsidR="00AF4F70">
        <w:t xml:space="preserve">the median </w:t>
      </w:r>
      <w:r w:rsidRPr="00081BA8">
        <w:t>concentrations</w:t>
      </w:r>
      <w:r w:rsidR="00AF4F70">
        <w:t xml:space="preserve"> of TFAs were generally low. Excluding foods likely to contain ruminant TFAs, </w:t>
      </w:r>
      <w:r w:rsidRPr="00081BA8">
        <w:t xml:space="preserve">approximately </w:t>
      </w:r>
      <w:r w:rsidR="00AF4F70">
        <w:t>86</w:t>
      </w:r>
      <w:r w:rsidRPr="00081BA8">
        <w:t xml:space="preserve">% of the </w:t>
      </w:r>
      <w:r w:rsidR="00AF4F70">
        <w:t>foods</w:t>
      </w:r>
      <w:r w:rsidR="00AF4F70" w:rsidRPr="00081BA8">
        <w:t xml:space="preserve"> </w:t>
      </w:r>
      <w:r w:rsidR="00AF4F70">
        <w:t>had</w:t>
      </w:r>
      <w:r>
        <w:t xml:space="preserve"> TFA</w:t>
      </w:r>
      <w:r w:rsidR="00AF4F70">
        <w:t xml:space="preserve"> concentrations </w:t>
      </w:r>
      <w:r>
        <w:t xml:space="preserve">below </w:t>
      </w:r>
      <w:r w:rsidR="007E6F94" w:rsidRPr="00081BA8">
        <w:t xml:space="preserve">2 </w:t>
      </w:r>
      <w:r w:rsidR="007E6F94">
        <w:t>g/100 g</w:t>
      </w:r>
      <w:r w:rsidR="007E6F94" w:rsidRPr="00081BA8">
        <w:t xml:space="preserve"> </w:t>
      </w:r>
      <w:r w:rsidR="007E6F94">
        <w:t xml:space="preserve">fat, </w:t>
      </w:r>
      <w:r>
        <w:t xml:space="preserve">the </w:t>
      </w:r>
      <w:r w:rsidR="007E6F94">
        <w:t>limit adopted</w:t>
      </w:r>
      <w:r w:rsidR="00AF4F70">
        <w:t xml:space="preserve"> for manufactured TFAs</w:t>
      </w:r>
      <w:r w:rsidR="007E6F94">
        <w:t xml:space="preserve"> in Danish legislation in 2003</w:t>
      </w:r>
      <w:r>
        <w:t>.</w:t>
      </w:r>
      <w:r w:rsidRPr="00081BA8">
        <w:t xml:space="preserve"> </w:t>
      </w:r>
    </w:p>
    <w:p w:rsidR="00AF4F70" w:rsidRPr="0093343D" w:rsidRDefault="00AF4F70" w:rsidP="008B74B1">
      <w:pPr>
        <w:rPr>
          <w:i/>
        </w:rPr>
      </w:pPr>
    </w:p>
    <w:p w:rsidR="008B74B1" w:rsidRDefault="008B74B1" w:rsidP="008B74B1">
      <w:r>
        <w:t>T</w:t>
      </w:r>
      <w:r w:rsidRPr="00081BA8">
        <w:t xml:space="preserve">here was no clear trend toward an increase or a decrease in median TFA concentrations in Australian </w:t>
      </w:r>
      <w:r w:rsidR="00D42457">
        <w:t>or New Zealand foods compared with</w:t>
      </w:r>
      <w:r w:rsidRPr="00081BA8">
        <w:t xml:space="preserve"> the </w:t>
      </w:r>
      <w:r w:rsidR="00373C52">
        <w:t>2007</w:t>
      </w:r>
      <w:r>
        <w:t xml:space="preserve"> </w:t>
      </w:r>
      <w:r w:rsidRPr="00081BA8">
        <w:t xml:space="preserve">and </w:t>
      </w:r>
      <w:r w:rsidR="00373C52">
        <w:t>2009</w:t>
      </w:r>
      <w:r w:rsidRPr="00081BA8">
        <w:t xml:space="preserve"> surveys. Statistically significant</w:t>
      </w:r>
      <w:r>
        <w:t xml:space="preserve"> (p&lt;0.01)</w:t>
      </w:r>
      <w:r w:rsidRPr="00081BA8">
        <w:t xml:space="preserve"> increases in TFA conce</w:t>
      </w:r>
      <w:r>
        <w:t>ntration were observed in only one</w:t>
      </w:r>
      <w:r w:rsidRPr="00081BA8">
        <w:t xml:space="preserve"> product</w:t>
      </w:r>
      <w:r>
        <w:t xml:space="preserve"> category</w:t>
      </w:r>
      <w:r w:rsidRPr="00081BA8">
        <w:t xml:space="preserve"> - c</w:t>
      </w:r>
      <w:r>
        <w:t>hicken nuggets/products (median concentrations of TFA</w:t>
      </w:r>
      <w:r w:rsidR="00976B4B">
        <w:t>s</w:t>
      </w:r>
      <w:r>
        <w:t xml:space="preserve"> in chicken nuggets/products were 0.1 and 0.2 g / 100 g food in the </w:t>
      </w:r>
      <w:r w:rsidR="00373C52">
        <w:t>2009</w:t>
      </w:r>
      <w:r>
        <w:t xml:space="preserve"> and 2013 surveys, respectively). This product category was widened slightly to include other chicken products in the current survey, which may have contributed to this result. No significant changes in TFA concentrations were observed in other product categories. </w:t>
      </w:r>
    </w:p>
    <w:p w:rsidR="008B74B1" w:rsidRDefault="008B74B1" w:rsidP="008B74B1">
      <w:pPr>
        <w:rPr>
          <w:highlight w:val="green"/>
        </w:rPr>
      </w:pPr>
    </w:p>
    <w:p w:rsidR="008B74B1" w:rsidRPr="00D873BB" w:rsidRDefault="008B74B1" w:rsidP="008B74B1">
      <w:r>
        <w:t xml:space="preserve">On the basis that the analytical results did not show an increase in TFA concentrations  </w:t>
      </w:r>
      <w:r w:rsidR="008642AC">
        <w:t>- from previous surveys</w:t>
      </w:r>
      <w:r>
        <w:t xml:space="preserve">, </w:t>
      </w:r>
      <w:r w:rsidR="008642AC">
        <w:t xml:space="preserve"> dietary</w:t>
      </w:r>
      <w:r>
        <w:t xml:space="preserve"> </w:t>
      </w:r>
      <w:r w:rsidR="008642AC">
        <w:t xml:space="preserve">intake is likely to </w:t>
      </w:r>
      <w:r w:rsidR="00FF767F">
        <w:t>remain</w:t>
      </w:r>
      <w:r w:rsidR="008642AC">
        <w:t xml:space="preserve"> low and below the WHO recommended level of 1% dietary energy in both Australia and New Zealand.</w:t>
      </w:r>
      <w:r>
        <w:t xml:space="preserve"> </w:t>
      </w:r>
      <w:r w:rsidR="008642AC">
        <w:t>The</w:t>
      </w:r>
      <w:r>
        <w:t xml:space="preserve"> summary results of the </w:t>
      </w:r>
      <w:r w:rsidR="00815149" w:rsidRPr="00437497">
        <w:t>2011</w:t>
      </w:r>
      <w:r w:rsidR="00815149">
        <w:t>‒</w:t>
      </w:r>
      <w:r w:rsidR="00815149" w:rsidRPr="00437497">
        <w:t xml:space="preserve">12 </w:t>
      </w:r>
      <w:r>
        <w:t xml:space="preserve">National Nutrition and Physical </w:t>
      </w:r>
      <w:r w:rsidR="00BF590D">
        <w:t>Activity Survey</w:t>
      </w:r>
      <w:r>
        <w:t xml:space="preserve"> component of th</w:t>
      </w:r>
      <w:r w:rsidR="00BF590D">
        <w:t>e Australian Health Survey</w:t>
      </w:r>
      <w:r>
        <w:t xml:space="preserve"> </w:t>
      </w:r>
      <w:r w:rsidR="0051719F">
        <w:t xml:space="preserve">have been recently </w:t>
      </w:r>
      <w:r>
        <w:t>released</w:t>
      </w:r>
      <w:r w:rsidR="00BF590D">
        <w:t xml:space="preserve"> (</w:t>
      </w:r>
      <w:r w:rsidR="00BF590D" w:rsidRPr="00930A1E">
        <w:t>refer to section 3.2.1)</w:t>
      </w:r>
      <w:r w:rsidRPr="00930A1E">
        <w:t>. Updated consumption data for New Zealand are not yet available for dietary exposure</w:t>
      </w:r>
      <w:r>
        <w:t xml:space="preserve"> modelling purposes. </w:t>
      </w:r>
    </w:p>
    <w:p w:rsidR="0036694F" w:rsidRDefault="0036694F" w:rsidP="0057052E">
      <w:pPr>
        <w:pStyle w:val="Heading3"/>
      </w:pPr>
      <w:r>
        <w:t>3.1.2</w:t>
      </w:r>
      <w:r>
        <w:tab/>
      </w:r>
      <w:r w:rsidR="00D129A1">
        <w:t>2013 FSANZ industry survey</w:t>
      </w:r>
    </w:p>
    <w:p w:rsidR="00DC064C" w:rsidRPr="0024768B" w:rsidRDefault="00D129A1" w:rsidP="00DC064C">
      <w:pPr>
        <w:rPr>
          <w:rFonts w:cs="Arial"/>
        </w:rPr>
      </w:pPr>
      <w:r>
        <w:rPr>
          <w:lang w:bidi="ar-SA"/>
        </w:rPr>
        <w:t xml:space="preserve">The purpose of the survey was to investigate past and current activities, and future plans of sectors of the food industry </w:t>
      </w:r>
      <w:r>
        <w:t xml:space="preserve">to reduce </w:t>
      </w:r>
      <w:r w:rsidR="00373C52">
        <w:t>TFAs</w:t>
      </w:r>
      <w:r>
        <w:t xml:space="preserve"> in the Australian and New Zealand food supply. </w:t>
      </w:r>
      <w:r w:rsidR="00DC064C">
        <w:rPr>
          <w:rFonts w:cs="Arial"/>
        </w:rPr>
        <w:t>Details of this survey</w:t>
      </w:r>
      <w:r w:rsidR="00DC064C" w:rsidRPr="0024768B">
        <w:rPr>
          <w:rFonts w:cs="Arial"/>
        </w:rPr>
        <w:t xml:space="preserve"> are </w:t>
      </w:r>
      <w:r w:rsidR="00DC064C" w:rsidRPr="00930A1E">
        <w:rPr>
          <w:rFonts w:cs="Arial"/>
        </w:rPr>
        <w:t>in Supporting Document 2, with</w:t>
      </w:r>
      <w:r w:rsidR="00DC064C" w:rsidRPr="0024768B">
        <w:rPr>
          <w:rFonts w:cs="Arial"/>
        </w:rPr>
        <w:t xml:space="preserve"> a summary of the key findings provided below.</w:t>
      </w:r>
    </w:p>
    <w:p w:rsidR="00D129A1" w:rsidRDefault="00D129A1" w:rsidP="00D129A1"/>
    <w:p w:rsidR="00D129A1" w:rsidRDefault="00D129A1" w:rsidP="00D129A1">
      <w:pPr>
        <w:rPr>
          <w:lang w:bidi="ar-SA"/>
        </w:rPr>
      </w:pPr>
      <w:r>
        <w:rPr>
          <w:lang w:bidi="ar-SA"/>
        </w:rPr>
        <w:t xml:space="preserve">A convenience sample of a selection of Australian and New Zealand </w:t>
      </w:r>
      <w:r w:rsidR="00373C52">
        <w:rPr>
          <w:lang w:bidi="ar-SA"/>
        </w:rPr>
        <w:t>QSRs</w:t>
      </w:r>
      <w:r>
        <w:rPr>
          <w:lang w:bidi="ar-SA"/>
        </w:rPr>
        <w:t>, edible oil and spread manufacturers/suppliers, packaged food manufacturers (frozen goods and snack products) and supermarket chains were surveyed. These groups of businesses were specifically targeted given existing knowledge about the key sources of manufactured TFAs in the Australian and New Zealand food supply.</w:t>
      </w:r>
    </w:p>
    <w:p w:rsidR="00D129A1" w:rsidRDefault="00D129A1" w:rsidP="00D129A1">
      <w:pPr>
        <w:rPr>
          <w:lang w:bidi="ar-SA"/>
        </w:rPr>
      </w:pPr>
    </w:p>
    <w:p w:rsidR="00D129A1" w:rsidRDefault="00D129A1" w:rsidP="00D129A1">
      <w:pPr>
        <w:rPr>
          <w:lang w:bidi="ar-SA"/>
        </w:rPr>
      </w:pPr>
      <w:r>
        <w:rPr>
          <w:lang w:bidi="ar-SA"/>
        </w:rPr>
        <w:t>The survey included questions on activities to reduce the TFA content of foods, whether TFA levels had been reduced as much as practicable and whether companies provide information to consumers or customers about the TFA content of products. The survey was conducted via email between July and September 2013.</w:t>
      </w:r>
    </w:p>
    <w:p w:rsidR="00D129A1" w:rsidRDefault="00D129A1" w:rsidP="00D129A1">
      <w:pPr>
        <w:rPr>
          <w:lang w:bidi="ar-SA"/>
        </w:rPr>
      </w:pPr>
    </w:p>
    <w:p w:rsidR="00D129A1" w:rsidRDefault="00D129A1" w:rsidP="00D129A1">
      <w:pPr>
        <w:rPr>
          <w:lang w:bidi="ar-SA"/>
        </w:rPr>
      </w:pPr>
      <w:r>
        <w:rPr>
          <w:lang w:bidi="ar-SA"/>
        </w:rPr>
        <w:t xml:space="preserve">Responses were received from 22 of the 52 companies selected to participate (five QSR, five edible oil manufacturers/suppliers, three frozen goods manufacturers, seven snack product manufacturers and two supermarket chains). Six of the respondents provided a combined response for both the Australia and New Zealand arms of the company. </w:t>
      </w:r>
    </w:p>
    <w:p w:rsidR="00D129A1" w:rsidRDefault="00D129A1" w:rsidP="00D129A1">
      <w:pPr>
        <w:rPr>
          <w:lang w:bidi="ar-SA"/>
        </w:rPr>
      </w:pPr>
    </w:p>
    <w:p w:rsidR="00976B4B" w:rsidRDefault="00976B4B" w:rsidP="00976B4B">
      <w:pPr>
        <w:widowControl/>
      </w:pPr>
      <w:r>
        <w:t xml:space="preserve">Overall, the findings indicate that the majority of the surveyed companies are actively maintaining a low TFA content of their products and that in some cases, there is ongoing work to make further reductions in TFA levels. It was noted that companies producing fats and oils in Australia and New Zealand are competing with hydrogenated oils imported from </w:t>
      </w:r>
      <w:r>
        <w:lastRenderedPageBreak/>
        <w:t xml:space="preserve">Asia and that many companies in Australia and New Zealand are sourcing oils and fats offshore. The TFA </w:t>
      </w:r>
      <w:r w:rsidRPr="006E5DBF">
        <w:t xml:space="preserve">content of such imported products is unclear. Should a further study be undertaken in the future, this could be investigated. </w:t>
      </w:r>
      <w:r w:rsidR="00482228" w:rsidRPr="006E5DBF">
        <w:t>It is not possible to extrapolate the findings of the study to the food industry because of the small number of respondents and the convenience sampling approach.</w:t>
      </w:r>
    </w:p>
    <w:p w:rsidR="00DC064C" w:rsidRDefault="00DC064C" w:rsidP="002B6D7F">
      <w:pPr>
        <w:pStyle w:val="Heading2"/>
      </w:pPr>
      <w:bookmarkStart w:id="28" w:name="_Toc409699755"/>
      <w:r>
        <w:t>3.2</w:t>
      </w:r>
      <w:r>
        <w:tab/>
        <w:t xml:space="preserve">Dietary intake of </w:t>
      </w:r>
      <w:r w:rsidRPr="00903916">
        <w:t>trans</w:t>
      </w:r>
      <w:r>
        <w:t xml:space="preserve"> fatty acids</w:t>
      </w:r>
      <w:bookmarkEnd w:id="28"/>
    </w:p>
    <w:p w:rsidR="002B6D7F" w:rsidRDefault="00147562" w:rsidP="00147562">
      <w:pPr>
        <w:pStyle w:val="Heading3"/>
      </w:pPr>
      <w:r>
        <w:t>3.2.</w:t>
      </w:r>
      <w:r w:rsidRPr="00147562">
        <w:t>1</w:t>
      </w:r>
      <w:r>
        <w:tab/>
      </w:r>
      <w:r w:rsidR="002B6D7F" w:rsidRPr="00147562">
        <w:t>Australia</w:t>
      </w:r>
    </w:p>
    <w:p w:rsidR="002B6D7F" w:rsidRPr="00B81856" w:rsidRDefault="002B6D7F" w:rsidP="002B6D7F">
      <w:r w:rsidRPr="00437497">
        <w:t xml:space="preserve">The </w:t>
      </w:r>
      <w:r w:rsidR="00815149" w:rsidRPr="00437497">
        <w:t>2011</w:t>
      </w:r>
      <w:r w:rsidR="00815149">
        <w:t>‒</w:t>
      </w:r>
      <w:r w:rsidR="00815149" w:rsidRPr="00437497">
        <w:t xml:space="preserve">12 </w:t>
      </w:r>
      <w:r w:rsidRPr="00437497">
        <w:t>National Nutrition and P</w:t>
      </w:r>
      <w:r>
        <w:t>hysical Activity Survey (NNPAS) component of the Australian Health Survey (AHS) was released on 9 May 2014 and reported population estimates of food consumption and nutrient intake from over 12,000 Australians aged 2 years and above</w:t>
      </w:r>
      <w:r w:rsidR="002F233A">
        <w:t xml:space="preserve"> (Australian Bureau of Statistics 2014)</w:t>
      </w:r>
      <w:r>
        <w:t>. At this time, only summary data are available from the NNPAS. The summary data include estimated mean intake of TFA by age group and sex, mean energy intake, and food groups that contribute to TFA intake</w:t>
      </w:r>
      <w:r w:rsidR="006C1693">
        <w:t>.</w:t>
      </w:r>
      <w:r w:rsidR="00B81856">
        <w:t xml:space="preserve"> The </w:t>
      </w:r>
      <w:r w:rsidR="00B81856" w:rsidRPr="00B81856">
        <w:rPr>
          <w:szCs w:val="22"/>
        </w:rPr>
        <w:t>Australian Bureau of Statistics</w:t>
      </w:r>
      <w:r w:rsidR="00B81856">
        <w:rPr>
          <w:szCs w:val="22"/>
        </w:rPr>
        <w:t xml:space="preserve"> prepared the intake data</w:t>
      </w:r>
      <w:r w:rsidR="00B81856" w:rsidRPr="00B81856">
        <w:rPr>
          <w:szCs w:val="22"/>
        </w:rPr>
        <w:t xml:space="preserve"> using a nutrient database prepared by FSANZ</w:t>
      </w:r>
      <w:r w:rsidR="00B81856">
        <w:rPr>
          <w:szCs w:val="22"/>
        </w:rPr>
        <w:t>.</w:t>
      </w:r>
    </w:p>
    <w:p w:rsidR="002B6D7F" w:rsidRDefault="002B6D7F" w:rsidP="002B6D7F"/>
    <w:p w:rsidR="0024251B" w:rsidRDefault="0024251B" w:rsidP="002B6D7F">
      <w:r>
        <w:t xml:space="preserve">Results from the NNPAS showed that among all Australians 2 years and above, TFA intake averaged 1.4 g/day, ranging from 1.0 g (2-3 year olds) to 1.9 g/day in males aged 14-18 years. As a percentage of energy, intake averaged 0.6% across all age groups. </w:t>
      </w:r>
      <w:r w:rsidR="002C2FB4">
        <w:t>In the FSANZ 2009 review, an estimate for the same population age group was not determined. In 2009, the mean TFA intake for children aged 2</w:t>
      </w:r>
      <w:r w:rsidR="002C2FB4">
        <w:rPr>
          <w:rFonts w:cs="Arial"/>
        </w:rPr>
        <w:t xml:space="preserve">‒16 years </w:t>
      </w:r>
      <w:r w:rsidR="002C2FB4">
        <w:t xml:space="preserve">was estimated to be 0.6% of dietary energy and 0.5% dietary energy for persons aged 17 years and older. </w:t>
      </w:r>
      <w:r w:rsidR="002B6D7F">
        <w:t>Population mean TFA intake estimates reflect both the levels of TFA in foods and the amounts and types of different foods people eat. The 2011</w:t>
      </w:r>
      <w:r w:rsidR="0045790C">
        <w:rPr>
          <w:rFonts w:cs="Arial"/>
        </w:rPr>
        <w:t>‒</w:t>
      </w:r>
      <w:r w:rsidR="002B6D7F">
        <w:t xml:space="preserve">12 NNPAS estimates use a very similar set of data for TFA levels to that used by FSANZ in 2009 to estimate TFA intakes. </w:t>
      </w:r>
      <w:r w:rsidR="00D37533">
        <w:t>Due</w:t>
      </w:r>
      <w:r w:rsidR="002B6D7F">
        <w:t xml:space="preserve"> to methodological differences between the type of dietary modelling used by FSANZ in 2009, and the procedures used in the 2011</w:t>
      </w:r>
      <w:r w:rsidR="0045790C">
        <w:rPr>
          <w:rFonts w:cs="Arial"/>
        </w:rPr>
        <w:t>‒</w:t>
      </w:r>
      <w:r w:rsidR="002B6D7F">
        <w:t xml:space="preserve">12 NNPAS, </w:t>
      </w:r>
      <w:r w:rsidR="00D37533">
        <w:t>the estimates of dietary intake from the FSANZ 2009 review and the 2011</w:t>
      </w:r>
      <w:r w:rsidR="00D37533">
        <w:rPr>
          <w:rFonts w:cs="Arial"/>
        </w:rPr>
        <w:t>‒</w:t>
      </w:r>
      <w:r w:rsidR="00D37533">
        <w:t>12 NNPAS</w:t>
      </w:r>
      <w:r>
        <w:t xml:space="preserve"> are not directly comparable. Nonetheless, the NNPAS results show that TFA intake remains low, and below the WHO recommendation</w:t>
      </w:r>
      <w:r w:rsidR="002C2FB4">
        <w:t xml:space="preserve"> of less than 1 % dietary energy.</w:t>
      </w:r>
    </w:p>
    <w:p w:rsidR="0024251B" w:rsidRDefault="0024251B" w:rsidP="002B6D7F"/>
    <w:p w:rsidR="002B6D7F" w:rsidRDefault="00DA665A" w:rsidP="002B6D7F">
      <w:r>
        <w:t>In the 2011–12 NNPAS, t</w:t>
      </w:r>
      <w:r w:rsidRPr="00057DA2">
        <w:t xml:space="preserve">he dairy and meat </w:t>
      </w:r>
      <w:r w:rsidR="007F4136">
        <w:t>food groups</w:t>
      </w:r>
      <w:r>
        <w:t>,</w:t>
      </w:r>
      <w:r w:rsidRPr="00057DA2">
        <w:t xml:space="preserve"> together </w:t>
      </w:r>
      <w:r>
        <w:t>with butter</w:t>
      </w:r>
      <w:r w:rsidR="007F4136">
        <w:t>s</w:t>
      </w:r>
      <w:r w:rsidR="00554F30">
        <w:t xml:space="preserve"> and </w:t>
      </w:r>
      <w:r>
        <w:t>dairy blends</w:t>
      </w:r>
      <w:r w:rsidR="007F4136">
        <w:t xml:space="preserve">, </w:t>
      </w:r>
      <w:r w:rsidRPr="00057DA2">
        <w:t>contributed</w:t>
      </w:r>
      <w:r>
        <w:t xml:space="preserve"> more than</w:t>
      </w:r>
      <w:r w:rsidRPr="00057DA2">
        <w:t xml:space="preserve"> half </w:t>
      </w:r>
      <w:r>
        <w:t>the total TFA intake</w:t>
      </w:r>
      <w:r w:rsidRPr="00057DA2">
        <w:t xml:space="preserve">, </w:t>
      </w:r>
      <w:r>
        <w:t>showing that</w:t>
      </w:r>
      <w:r w:rsidRPr="00057DA2">
        <w:t xml:space="preserve"> ruminant TFA</w:t>
      </w:r>
      <w:r>
        <w:t>s</w:t>
      </w:r>
      <w:r w:rsidRPr="00057DA2">
        <w:t xml:space="preserve"> continue to be </w:t>
      </w:r>
      <w:r>
        <w:t xml:space="preserve">the </w:t>
      </w:r>
      <w:r w:rsidRPr="00057DA2">
        <w:t xml:space="preserve">major source of </w:t>
      </w:r>
      <w:r>
        <w:t>TFA</w:t>
      </w:r>
      <w:r w:rsidRPr="00057DA2">
        <w:t xml:space="preserve"> in the Australian diet. </w:t>
      </w:r>
      <w:r>
        <w:t xml:space="preserve">This estimate is based on an analysis of food groups that differs from the analysis undertaken in the FSANZ 2009 review (60-75% of TFAs came from ruminant TFAs) and therefore the two estimates are not directly comparable. </w:t>
      </w:r>
    </w:p>
    <w:p w:rsidR="002B6D7F" w:rsidRPr="00A229C6" w:rsidRDefault="002B6D7F" w:rsidP="002B6D7F">
      <w:pPr>
        <w:autoSpaceDE w:val="0"/>
        <w:autoSpaceDN w:val="0"/>
        <w:adjustRightInd w:val="0"/>
      </w:pPr>
    </w:p>
    <w:p w:rsidR="002B6D7F" w:rsidRDefault="002B6D7F" w:rsidP="007F7CB8">
      <w:pPr>
        <w:autoSpaceDE w:val="0"/>
        <w:autoSpaceDN w:val="0"/>
        <w:adjustRightInd w:val="0"/>
      </w:pPr>
      <w:r w:rsidRPr="00A229C6">
        <w:t xml:space="preserve">Intakes of </w:t>
      </w:r>
      <w:r w:rsidR="00373C52">
        <w:t>SFAs</w:t>
      </w:r>
      <w:r w:rsidRPr="00A229C6">
        <w:t xml:space="preserve"> remain high in Australia</w:t>
      </w:r>
      <w:r>
        <w:t>. The 2011</w:t>
      </w:r>
      <w:r w:rsidR="0045790C">
        <w:rPr>
          <w:rFonts w:cs="Arial"/>
        </w:rPr>
        <w:t>‒</w:t>
      </w:r>
      <w:r>
        <w:t>12</w:t>
      </w:r>
      <w:r w:rsidRPr="00A229C6">
        <w:t xml:space="preserve"> </w:t>
      </w:r>
      <w:r>
        <w:t xml:space="preserve">NNPAS estimate of mean </w:t>
      </w:r>
      <w:r w:rsidRPr="00A229C6">
        <w:t xml:space="preserve">intake of </w:t>
      </w:r>
      <w:r w:rsidR="007F7CB8">
        <w:t>SFAs</w:t>
      </w:r>
      <w:r w:rsidRPr="00A229C6">
        <w:t xml:space="preserve"> and </w:t>
      </w:r>
      <w:r w:rsidR="007F7CB8">
        <w:t>TFAs</w:t>
      </w:r>
      <w:r w:rsidRPr="00A229C6">
        <w:t xml:space="preserve"> combined, as a percentage of dietary energy, </w:t>
      </w:r>
      <w:r>
        <w:t>is</w:t>
      </w:r>
      <w:r w:rsidRPr="00A229C6">
        <w:t xml:space="preserve"> </w:t>
      </w:r>
      <w:r w:rsidR="00FA4E4F">
        <w:t>12.4</w:t>
      </w:r>
      <w:r w:rsidRPr="00A229C6">
        <w:t>% of energy</w:t>
      </w:r>
      <w:r>
        <w:t xml:space="preserve"> for all Australians aged 2 years and above, and 1</w:t>
      </w:r>
      <w:r w:rsidR="00FA4E4F">
        <w:t>2.1</w:t>
      </w:r>
      <w:r>
        <w:t>% for those aged 19 years and above. This remains</w:t>
      </w:r>
      <w:r w:rsidRPr="00A229C6">
        <w:t xml:space="preserve"> above the NHMRC recommendation of no more than 10% of energy</w:t>
      </w:r>
      <w:r>
        <w:t xml:space="preserve"> (</w:t>
      </w:r>
      <w:r w:rsidR="00373C52">
        <w:rPr>
          <w:rFonts w:cs="Arial"/>
        </w:rPr>
        <w:t>National Health &amp; Medical Research C</w:t>
      </w:r>
      <w:r w:rsidR="00373C52" w:rsidRPr="00ED213D">
        <w:rPr>
          <w:rFonts w:cs="Arial"/>
        </w:rPr>
        <w:t xml:space="preserve">ouncil and </w:t>
      </w:r>
      <w:r w:rsidR="00373C52">
        <w:rPr>
          <w:rFonts w:cs="Arial"/>
        </w:rPr>
        <w:t>M</w:t>
      </w:r>
      <w:r w:rsidR="00373C52" w:rsidRPr="00ED213D">
        <w:rPr>
          <w:rFonts w:cs="Arial"/>
        </w:rPr>
        <w:t xml:space="preserve">inistry of </w:t>
      </w:r>
      <w:r w:rsidR="00373C52">
        <w:rPr>
          <w:rFonts w:cs="Arial"/>
        </w:rPr>
        <w:t>Health</w:t>
      </w:r>
      <w:r>
        <w:t xml:space="preserve"> 2006)</w:t>
      </w:r>
      <w:r w:rsidR="000E7847">
        <w:t>. B</w:t>
      </w:r>
      <w:r w:rsidR="007F7CB8">
        <w:t xml:space="preserve">etween 1995 and </w:t>
      </w:r>
      <w:r w:rsidR="0045790C">
        <w:br/>
      </w:r>
      <w:r w:rsidR="007F7CB8">
        <w:t>2011</w:t>
      </w:r>
      <w:r w:rsidR="0045790C">
        <w:rPr>
          <w:rFonts w:cs="Arial"/>
        </w:rPr>
        <w:t>‒</w:t>
      </w:r>
      <w:r w:rsidR="007F7CB8">
        <w:t xml:space="preserve">12, the contribution of SFAs </w:t>
      </w:r>
      <w:r w:rsidR="00DA7ED0">
        <w:t xml:space="preserve">to energy intake </w:t>
      </w:r>
      <w:r w:rsidR="007F7CB8">
        <w:t>declined by around one percentage point.</w:t>
      </w:r>
    </w:p>
    <w:p w:rsidR="002B6D7F" w:rsidRDefault="008673C5" w:rsidP="007F7CB8">
      <w:pPr>
        <w:pStyle w:val="Heading3"/>
      </w:pPr>
      <w:r>
        <w:t>3.2.2</w:t>
      </w:r>
      <w:r>
        <w:tab/>
      </w:r>
      <w:r w:rsidR="002B6D7F">
        <w:t>New Zealand</w:t>
      </w:r>
    </w:p>
    <w:p w:rsidR="002B6D7F" w:rsidRPr="00741937" w:rsidRDefault="002B6D7F" w:rsidP="00D129A1">
      <w:pPr>
        <w:rPr>
          <w:rFonts w:cs="Arial"/>
        </w:rPr>
      </w:pPr>
      <w:r w:rsidRPr="00EE04CB">
        <w:rPr>
          <w:rFonts w:cs="Arial"/>
        </w:rPr>
        <w:t xml:space="preserve">The most recent national nutrition survey for New Zealand adults, the 2008/09 Adult Nutrition Survey, also found continuing high intakes of </w:t>
      </w:r>
      <w:r w:rsidR="007F7CB8">
        <w:rPr>
          <w:rFonts w:cs="Arial"/>
        </w:rPr>
        <w:t>SFAs</w:t>
      </w:r>
      <w:r w:rsidRPr="00EE04CB">
        <w:rPr>
          <w:rFonts w:cs="Arial"/>
        </w:rPr>
        <w:t xml:space="preserve">. The mean contribution of </w:t>
      </w:r>
      <w:r>
        <w:rPr>
          <w:rFonts w:cs="Arial"/>
        </w:rPr>
        <w:t>SFA</w:t>
      </w:r>
      <w:r w:rsidR="007F7CB8">
        <w:rPr>
          <w:rFonts w:cs="Arial"/>
        </w:rPr>
        <w:t>s</w:t>
      </w:r>
      <w:r w:rsidRPr="00EE04CB">
        <w:rPr>
          <w:rFonts w:cs="Arial"/>
        </w:rPr>
        <w:t xml:space="preserve"> to daily energy intake was 13.1% for both males and</w:t>
      </w:r>
      <w:r>
        <w:rPr>
          <w:rFonts w:cs="Arial"/>
        </w:rPr>
        <w:t xml:space="preserve"> </w:t>
      </w:r>
      <w:r w:rsidRPr="00EE04CB">
        <w:rPr>
          <w:rFonts w:cs="Arial"/>
        </w:rPr>
        <w:t>females</w:t>
      </w:r>
      <w:r>
        <w:rPr>
          <w:rFonts w:cs="Arial"/>
        </w:rPr>
        <w:t xml:space="preserve"> aged 15 years and above (University of Otago &amp; Ministry of</w:t>
      </w:r>
      <w:r w:rsidR="008D74A7">
        <w:rPr>
          <w:rFonts w:cs="Arial"/>
        </w:rPr>
        <w:t xml:space="preserve"> Health</w:t>
      </w:r>
      <w:r>
        <w:rPr>
          <w:rFonts w:cs="Arial"/>
        </w:rPr>
        <w:t xml:space="preserve"> 2011).</w:t>
      </w:r>
      <w:r w:rsidR="007F7CB8">
        <w:rPr>
          <w:rFonts w:cs="Arial"/>
        </w:rPr>
        <w:t xml:space="preserve"> TFA intakes were not determined.</w:t>
      </w:r>
    </w:p>
    <w:p w:rsidR="002B194A" w:rsidRDefault="00186EC0" w:rsidP="0036694F">
      <w:pPr>
        <w:pStyle w:val="Heading2"/>
      </w:pPr>
      <w:bookmarkStart w:id="29" w:name="_Toc378157301"/>
      <w:bookmarkStart w:id="30" w:name="_Toc409699756"/>
      <w:r>
        <w:lastRenderedPageBreak/>
        <w:t>3</w:t>
      </w:r>
      <w:r w:rsidR="009F44D8">
        <w:t>.3</w:t>
      </w:r>
      <w:r w:rsidR="002B194A" w:rsidRPr="008C592C">
        <w:tab/>
      </w:r>
      <w:bookmarkEnd w:id="29"/>
      <w:r w:rsidR="0036694F">
        <w:t xml:space="preserve">The </w:t>
      </w:r>
      <w:r w:rsidR="007E4CE1">
        <w:t>effect</w:t>
      </w:r>
      <w:r w:rsidR="0036694F">
        <w:t xml:space="preserve"> of </w:t>
      </w:r>
      <w:r w:rsidR="0036694F" w:rsidRPr="00903916">
        <w:t>trans</w:t>
      </w:r>
      <w:r w:rsidR="0036694F">
        <w:t xml:space="preserve"> fatty acids on blood cholesterol and </w:t>
      </w:r>
      <w:r w:rsidR="007E4CE1">
        <w:t xml:space="preserve">other </w:t>
      </w:r>
      <w:r w:rsidR="0036694F">
        <w:t>adverse health outcomes</w:t>
      </w:r>
      <w:bookmarkEnd w:id="30"/>
    </w:p>
    <w:p w:rsidR="009F44D8" w:rsidRDefault="009F44D8" w:rsidP="002B1395">
      <w:pPr>
        <w:widowControl/>
        <w:autoSpaceDE w:val="0"/>
        <w:autoSpaceDN w:val="0"/>
        <w:adjustRightInd w:val="0"/>
        <w:rPr>
          <w:rFonts w:cs="Arial"/>
        </w:rPr>
      </w:pPr>
      <w:r>
        <w:t>TFAs have been postulated to be linked to a range of adverse health effects in humans. In 2006 and in 2009, FSANZ reviewed the ev</w:t>
      </w:r>
      <w:r w:rsidR="00373C52">
        <w:t>idence in this area (FSANZ 2007,</w:t>
      </w:r>
      <w:r>
        <w:t xml:space="preserve"> FSANZ 2009). In the 2009 review FSANZ concluded that </w:t>
      </w:r>
      <w:r w:rsidR="00815405">
        <w:rPr>
          <w:rFonts w:cs="Arial"/>
          <w:szCs w:val="22"/>
          <w:lang w:eastAsia="en-GB" w:bidi="ar-SA"/>
        </w:rPr>
        <w:t xml:space="preserve">the most consistent and robust evidence is for its adverse effect on blood lipids. TFA appear to raise LDL- and lower HDL-cholesterol concentrations; a change associated with an increased risk of cardiovascular disease. Several </w:t>
      </w:r>
      <w:r w:rsidR="00FE5128">
        <w:rPr>
          <w:rFonts w:cs="Arial"/>
          <w:szCs w:val="22"/>
          <w:lang w:eastAsia="en-GB" w:bidi="ar-SA"/>
        </w:rPr>
        <w:t xml:space="preserve">cohort </w:t>
      </w:r>
      <w:r w:rsidR="006536F5">
        <w:rPr>
          <w:rFonts w:cs="Arial"/>
          <w:szCs w:val="22"/>
          <w:lang w:eastAsia="en-GB" w:bidi="ar-SA"/>
        </w:rPr>
        <w:t xml:space="preserve">studies </w:t>
      </w:r>
      <w:r w:rsidR="00815405">
        <w:rPr>
          <w:rFonts w:cs="Arial"/>
          <w:szCs w:val="22"/>
          <w:lang w:eastAsia="en-GB" w:bidi="ar-SA"/>
        </w:rPr>
        <w:t>show</w:t>
      </w:r>
      <w:r w:rsidR="006536F5">
        <w:rPr>
          <w:rFonts w:cs="Arial"/>
          <w:szCs w:val="22"/>
          <w:lang w:eastAsia="en-GB" w:bidi="ar-SA"/>
        </w:rPr>
        <w:t>ed</w:t>
      </w:r>
      <w:r w:rsidR="00815405">
        <w:rPr>
          <w:rFonts w:cs="Arial"/>
          <w:szCs w:val="22"/>
          <w:lang w:eastAsia="en-GB" w:bidi="ar-SA"/>
        </w:rPr>
        <w:t xml:space="preserve"> a direct association with TFA intake and risk of </w:t>
      </w:r>
      <w:r w:rsidR="002B1395">
        <w:rPr>
          <w:rFonts w:cs="Arial"/>
          <w:szCs w:val="22"/>
          <w:lang w:eastAsia="en-GB" w:bidi="ar-SA"/>
        </w:rPr>
        <w:t xml:space="preserve">cardiovascular disease. </w:t>
      </w:r>
      <w:r w:rsidR="00815405">
        <w:rPr>
          <w:rFonts w:cs="Arial"/>
        </w:rPr>
        <w:t xml:space="preserve">The review also concluded </w:t>
      </w:r>
      <w:r>
        <w:rPr>
          <w:rFonts w:cs="Arial"/>
        </w:rPr>
        <w:t xml:space="preserve">that </w:t>
      </w:r>
      <w:r w:rsidR="00944473">
        <w:rPr>
          <w:rFonts w:cs="Arial"/>
        </w:rPr>
        <w:t xml:space="preserve">other TFA and disease relationships are less well established and require further research before they can be accepted or refuted. </w:t>
      </w:r>
    </w:p>
    <w:p w:rsidR="009F44D8" w:rsidRDefault="009F44D8" w:rsidP="009F44D8">
      <w:pPr>
        <w:autoSpaceDE w:val="0"/>
        <w:autoSpaceDN w:val="0"/>
        <w:adjustRightInd w:val="0"/>
        <w:rPr>
          <w:rFonts w:cs="Arial"/>
        </w:rPr>
      </w:pPr>
    </w:p>
    <w:p w:rsidR="009F44D8" w:rsidRDefault="009F44D8" w:rsidP="009F44D8">
      <w:pPr>
        <w:autoSpaceDE w:val="0"/>
        <w:autoSpaceDN w:val="0"/>
        <w:adjustRightInd w:val="0"/>
        <w:rPr>
          <w:rFonts w:cs="Arial"/>
        </w:rPr>
      </w:pPr>
      <w:r>
        <w:rPr>
          <w:rFonts w:cs="Arial"/>
        </w:rPr>
        <w:t>In order to update this work, in 2014 FSANZ commissioned two further reviews:</w:t>
      </w:r>
      <w:r w:rsidR="002B1395">
        <w:rPr>
          <w:rStyle w:val="FootnoteReference"/>
          <w:rFonts w:cs="Arial"/>
        </w:rPr>
        <w:footnoteReference w:id="7"/>
      </w:r>
    </w:p>
    <w:p w:rsidR="009F44D8" w:rsidRDefault="009F44D8" w:rsidP="009F44D8">
      <w:pPr>
        <w:autoSpaceDE w:val="0"/>
        <w:autoSpaceDN w:val="0"/>
        <w:adjustRightInd w:val="0"/>
        <w:rPr>
          <w:rFonts w:cs="Arial"/>
        </w:rPr>
      </w:pPr>
    </w:p>
    <w:p w:rsidR="009F44D8" w:rsidRPr="006F09F0" w:rsidRDefault="009F44D8" w:rsidP="00D66ECB">
      <w:pPr>
        <w:pStyle w:val="ListParagraph"/>
        <w:numPr>
          <w:ilvl w:val="0"/>
          <w:numId w:val="7"/>
        </w:numPr>
        <w:autoSpaceDE w:val="0"/>
        <w:autoSpaceDN w:val="0"/>
        <w:adjustRightInd w:val="0"/>
        <w:ind w:left="567" w:hanging="567"/>
        <w:rPr>
          <w:rFonts w:cs="Arial"/>
        </w:rPr>
      </w:pPr>
      <w:r>
        <w:rPr>
          <w:rFonts w:cs="Arial"/>
        </w:rPr>
        <w:t>a</w:t>
      </w:r>
      <w:r w:rsidRPr="006F09F0">
        <w:rPr>
          <w:rFonts w:cs="Arial"/>
        </w:rPr>
        <w:t xml:space="preserve"> systematic review of the relationship between intake of TFAs and </w:t>
      </w:r>
      <w:r>
        <w:rPr>
          <w:rFonts w:cs="Arial"/>
        </w:rPr>
        <w:t>blood cholesterol levels</w:t>
      </w:r>
    </w:p>
    <w:p w:rsidR="009F44D8" w:rsidRPr="006F09F0" w:rsidRDefault="009F44D8" w:rsidP="00D66ECB">
      <w:pPr>
        <w:pStyle w:val="ListParagraph"/>
        <w:numPr>
          <w:ilvl w:val="0"/>
          <w:numId w:val="7"/>
        </w:numPr>
        <w:autoSpaceDE w:val="0"/>
        <w:autoSpaceDN w:val="0"/>
        <w:adjustRightInd w:val="0"/>
        <w:ind w:left="567" w:hanging="567"/>
        <w:rPr>
          <w:rFonts w:cs="Arial"/>
        </w:rPr>
      </w:pPr>
      <w:r>
        <w:rPr>
          <w:rFonts w:cs="Arial"/>
        </w:rPr>
        <w:t>a</w:t>
      </w:r>
      <w:r w:rsidRPr="006F09F0">
        <w:rPr>
          <w:rFonts w:cs="Arial"/>
        </w:rPr>
        <w:t xml:space="preserve"> narrative review of the relationship between TFA intake and other adverse health outcomes including cancer and type 2 diabetes.</w:t>
      </w:r>
    </w:p>
    <w:p w:rsidR="009F44D8" w:rsidRDefault="009F44D8" w:rsidP="009F44D8">
      <w:pPr>
        <w:autoSpaceDE w:val="0"/>
        <w:autoSpaceDN w:val="0"/>
        <w:adjustRightInd w:val="0"/>
        <w:rPr>
          <w:rFonts w:cs="Arial"/>
        </w:rPr>
      </w:pPr>
    </w:p>
    <w:p w:rsidR="009F44D8" w:rsidRDefault="009F44D8" w:rsidP="009F44D8">
      <w:r>
        <w:t xml:space="preserve">The systematic </w:t>
      </w:r>
      <w:r w:rsidRPr="00930A1E">
        <w:t>review (S</w:t>
      </w:r>
      <w:r w:rsidR="00C12FE7" w:rsidRPr="00930A1E">
        <w:t xml:space="preserve">upporting </w:t>
      </w:r>
      <w:r w:rsidRPr="00930A1E">
        <w:t>D</w:t>
      </w:r>
      <w:r w:rsidR="00C12FE7" w:rsidRPr="00930A1E">
        <w:t xml:space="preserve">ocument </w:t>
      </w:r>
      <w:r w:rsidRPr="00930A1E">
        <w:t>3) showed</w:t>
      </w:r>
      <w:r>
        <w:t xml:space="preserve"> that new evidence </w:t>
      </w:r>
      <w:r w:rsidRPr="00972681">
        <w:t>published between 2010 and 2014</w:t>
      </w:r>
      <w:r>
        <w:t xml:space="preserve"> is consistent with </w:t>
      </w:r>
      <w:r w:rsidRPr="00972681">
        <w:t>previous research</w:t>
      </w:r>
      <w:r>
        <w:t xml:space="preserve"> </w:t>
      </w:r>
      <w:r w:rsidRPr="00972681">
        <w:t xml:space="preserve">regarding the relationship between TFA intake and change in blood </w:t>
      </w:r>
      <w:r>
        <w:t xml:space="preserve">cholesterol levels. This evidence </w:t>
      </w:r>
      <w:r w:rsidRPr="00972681">
        <w:t>demonstrate</w:t>
      </w:r>
      <w:r>
        <w:t>d</w:t>
      </w:r>
      <w:r w:rsidRPr="00972681">
        <w:t xml:space="preserve"> a causal relationship between intake of dietary TFA and detrimental changes in</w:t>
      </w:r>
      <w:r>
        <w:t xml:space="preserve"> </w:t>
      </w:r>
      <w:r w:rsidRPr="00972681">
        <w:t xml:space="preserve">LDL and HDL cholesterol values. </w:t>
      </w:r>
      <w:r>
        <w:t>However, t</w:t>
      </w:r>
      <w:r w:rsidRPr="00A32A54">
        <w:t>he associated change in blood lipid values with a one per cent increase in TFA</w:t>
      </w:r>
      <w:r>
        <w:t>,</w:t>
      </w:r>
      <w:r w:rsidRPr="00A32A54">
        <w:t xml:space="preserve"> as a percentage of energy intake</w:t>
      </w:r>
      <w:r>
        <w:t>,</w:t>
      </w:r>
      <w:r w:rsidRPr="00A32A54">
        <w:t xml:space="preserve"> was small</w:t>
      </w:r>
      <w:r w:rsidR="00944473">
        <w:t>.</w:t>
      </w:r>
      <w:r>
        <w:t xml:space="preserve"> In addition, studies </w:t>
      </w:r>
      <w:r w:rsidRPr="000B7B56">
        <w:rPr>
          <w:rFonts w:cs="Arial"/>
        </w:rPr>
        <w:t>included in this systematic review showed substantial variability in the reported blood lipid changes at TFA intakes at and below one per cent of energy intake</w:t>
      </w:r>
      <w:r>
        <w:rPr>
          <w:rFonts w:cs="Arial"/>
        </w:rPr>
        <w:t xml:space="preserve">. </w:t>
      </w:r>
    </w:p>
    <w:p w:rsidR="009F44D8" w:rsidRDefault="009F44D8" w:rsidP="009F44D8">
      <w:pPr>
        <w:rPr>
          <w:rFonts w:asciiTheme="minorHAnsi" w:hAnsiTheme="minorHAnsi" w:cs="Arial"/>
          <w:sz w:val="24"/>
        </w:rPr>
      </w:pPr>
    </w:p>
    <w:p w:rsidR="009F44D8" w:rsidRDefault="0097718F" w:rsidP="009F44D8">
      <w:r>
        <w:rPr>
          <w:rFonts w:cs="Arial"/>
        </w:rPr>
        <w:t xml:space="preserve">The </w:t>
      </w:r>
      <w:r w:rsidR="009F44D8" w:rsidRPr="00D16450">
        <w:rPr>
          <w:rFonts w:cs="Arial"/>
        </w:rPr>
        <w:t xml:space="preserve">narrative </w:t>
      </w:r>
      <w:r w:rsidR="009F44D8" w:rsidRPr="00930A1E">
        <w:rPr>
          <w:rFonts w:cs="Arial"/>
        </w:rPr>
        <w:t>review (S</w:t>
      </w:r>
      <w:r w:rsidR="00C12FE7" w:rsidRPr="00930A1E">
        <w:rPr>
          <w:rFonts w:cs="Arial"/>
        </w:rPr>
        <w:t xml:space="preserve">upporting </w:t>
      </w:r>
      <w:r w:rsidR="009F44D8" w:rsidRPr="00930A1E">
        <w:rPr>
          <w:rFonts w:cs="Arial"/>
        </w:rPr>
        <w:t>D</w:t>
      </w:r>
      <w:r w:rsidR="00C12FE7" w:rsidRPr="00930A1E">
        <w:rPr>
          <w:rFonts w:cs="Arial"/>
        </w:rPr>
        <w:t xml:space="preserve">ocument </w:t>
      </w:r>
      <w:r w:rsidR="009F44D8" w:rsidRPr="00930A1E">
        <w:rPr>
          <w:rFonts w:cs="Arial"/>
        </w:rPr>
        <w:t>4)</w:t>
      </w:r>
      <w:r w:rsidR="009F44D8" w:rsidRPr="00D16450">
        <w:rPr>
          <w:rFonts w:cs="Arial"/>
        </w:rPr>
        <w:t xml:space="preserve"> </w:t>
      </w:r>
      <w:r w:rsidR="00AA3440">
        <w:rPr>
          <w:rFonts w:cs="Arial"/>
        </w:rPr>
        <w:t xml:space="preserve">examined </w:t>
      </w:r>
      <w:r w:rsidR="006536F5">
        <w:rPr>
          <w:rFonts w:cs="Arial"/>
        </w:rPr>
        <w:t>research published between 2009 and 2014</w:t>
      </w:r>
      <w:r w:rsidR="00046A82">
        <w:rPr>
          <w:rFonts w:cs="Arial"/>
        </w:rPr>
        <w:t xml:space="preserve"> </w:t>
      </w:r>
      <w:r w:rsidR="002257DB" w:rsidRPr="002257DB">
        <w:rPr>
          <w:rFonts w:cs="Arial"/>
          <w:szCs w:val="22"/>
        </w:rPr>
        <w:t>for health outcomes related to cardiovascular disease and coronary heart disease</w:t>
      </w:r>
      <w:r w:rsidR="008E4DBE">
        <w:rPr>
          <w:rFonts w:cs="Arial"/>
          <w:szCs w:val="22"/>
        </w:rPr>
        <w:t>,</w:t>
      </w:r>
      <w:r w:rsidR="002257DB">
        <w:rPr>
          <w:rFonts w:cs="Arial"/>
        </w:rPr>
        <w:t xml:space="preserve"> </w:t>
      </w:r>
      <w:r w:rsidR="00046A82">
        <w:rPr>
          <w:rFonts w:cs="Arial"/>
        </w:rPr>
        <w:t xml:space="preserve">and </w:t>
      </w:r>
      <w:r>
        <w:rPr>
          <w:rFonts w:cs="Arial"/>
        </w:rPr>
        <w:t xml:space="preserve">considered </w:t>
      </w:r>
      <w:r w:rsidR="002257DB" w:rsidRPr="002257DB">
        <w:rPr>
          <w:rFonts w:cs="Arial"/>
          <w:szCs w:val="22"/>
        </w:rPr>
        <w:t>published research (with no date restrictions)</w:t>
      </w:r>
      <w:r w:rsidR="002257DB">
        <w:rPr>
          <w:rFonts w:cs="Arial"/>
          <w:szCs w:val="22"/>
        </w:rPr>
        <w:t xml:space="preserve"> for</w:t>
      </w:r>
      <w:r w:rsidR="002257DB" w:rsidRPr="002257DB">
        <w:rPr>
          <w:rFonts w:cs="Arial"/>
          <w:szCs w:val="22"/>
        </w:rPr>
        <w:t xml:space="preserve"> </w:t>
      </w:r>
      <w:r>
        <w:rPr>
          <w:rFonts w:cs="Arial"/>
        </w:rPr>
        <w:t xml:space="preserve">a range of other health outcomes, including </w:t>
      </w:r>
      <w:r w:rsidRPr="00D16450">
        <w:t>mortality, macular degeneration, dementia, asthma</w:t>
      </w:r>
      <w:r>
        <w:t>,</w:t>
      </w:r>
      <w:r w:rsidRPr="00D16450">
        <w:t xml:space="preserve"> eczema</w:t>
      </w:r>
      <w:r>
        <w:t>, type 2 diabetes</w:t>
      </w:r>
      <w:r w:rsidRPr="00D16450">
        <w:t xml:space="preserve"> and </w:t>
      </w:r>
      <w:r>
        <w:t xml:space="preserve">breast, </w:t>
      </w:r>
      <w:r w:rsidRPr="00D16450">
        <w:t>colorectal, pancreatic and prostate cancer</w:t>
      </w:r>
      <w:r>
        <w:t xml:space="preserve">. </w:t>
      </w:r>
      <w:r w:rsidR="00944473">
        <w:t xml:space="preserve">The narrative review did not find any evidence that changes the conclusions made in 2009, that is, that several cohort studies show a direct association with TFA intake and risk of cardiovascular disease and further research is required before any relationships between TFA intake and other diseases can be accepted or refuted. </w:t>
      </w:r>
    </w:p>
    <w:p w:rsidR="009F44D8" w:rsidRDefault="009F44D8" w:rsidP="009F44D8">
      <w:pPr>
        <w:rPr>
          <w:rFonts w:cs="Arial"/>
        </w:rPr>
      </w:pPr>
    </w:p>
    <w:p w:rsidR="009F44D8" w:rsidRDefault="009F44D8" w:rsidP="009F44D8">
      <w:r>
        <w:t xml:space="preserve">While the new systematic review confirms previous conclusions that high intakes of TFA produce adverse effects on blood cholesterol levels, it also shows that any further reduction in TFA intakes in Australia and New Zealand may produce only minor improvements in blood cholesterol levels. These improvements are likely to be less than would be achieved through other dietary changes, such as reduced intake of </w:t>
      </w:r>
      <w:r w:rsidR="001E40C2">
        <w:t>SFAs</w:t>
      </w:r>
      <w:r>
        <w:t>.</w:t>
      </w:r>
    </w:p>
    <w:p w:rsidR="004A161D" w:rsidRDefault="004A161D">
      <w:pPr>
        <w:widowControl/>
        <w:rPr>
          <w:rFonts w:cs="Arial"/>
          <w:b/>
          <w:bCs/>
          <w:sz w:val="28"/>
          <w:szCs w:val="22"/>
          <w:lang w:bidi="ar-SA"/>
        </w:rPr>
      </w:pPr>
      <w:bookmarkStart w:id="31" w:name="_Toc378157303"/>
      <w:r>
        <w:br w:type="page"/>
      </w:r>
    </w:p>
    <w:p w:rsidR="00A96AE1" w:rsidRDefault="00273512" w:rsidP="00C630F2">
      <w:pPr>
        <w:pStyle w:val="Heading2"/>
      </w:pPr>
      <w:bookmarkStart w:id="32" w:name="_Toc409699757"/>
      <w:r>
        <w:lastRenderedPageBreak/>
        <w:t>3.4</w:t>
      </w:r>
      <w:r w:rsidR="00AE455C">
        <w:tab/>
      </w:r>
      <w:bookmarkEnd w:id="31"/>
      <w:r w:rsidR="002C2483">
        <w:t xml:space="preserve">Mandating the declaration of </w:t>
      </w:r>
      <w:r w:rsidR="002C2483" w:rsidRPr="00903916">
        <w:t>trans</w:t>
      </w:r>
      <w:r w:rsidR="002C2483" w:rsidRPr="007E4CE1">
        <w:rPr>
          <w:i/>
        </w:rPr>
        <w:t xml:space="preserve"> </w:t>
      </w:r>
      <w:r w:rsidR="002C2483">
        <w:t>fatty acids</w:t>
      </w:r>
      <w:r w:rsidR="00903895">
        <w:t xml:space="preserve"> on food labels</w:t>
      </w:r>
      <w:bookmarkEnd w:id="32"/>
    </w:p>
    <w:p w:rsidR="007E4CE1" w:rsidRDefault="00273512" w:rsidP="002C2483">
      <w:pPr>
        <w:pStyle w:val="Heading3"/>
      </w:pPr>
      <w:r>
        <w:t>3.4</w:t>
      </w:r>
      <w:r w:rsidR="002C2483">
        <w:t>.1</w:t>
      </w:r>
      <w:bookmarkStart w:id="33" w:name="_Toc378157302"/>
      <w:r w:rsidR="002C2483">
        <w:tab/>
      </w:r>
      <w:r w:rsidR="007E4CE1">
        <w:t>Dietary guidelines in Australia and New Zealand</w:t>
      </w:r>
    </w:p>
    <w:p w:rsidR="007E4CE1" w:rsidRDefault="000128E4" w:rsidP="00E47CAE">
      <w:pPr>
        <w:rPr>
          <w:lang w:bidi="ar-SA"/>
        </w:rPr>
      </w:pPr>
      <w:r>
        <w:rPr>
          <w:lang w:eastAsia="en-AU" w:bidi="ar-SA"/>
        </w:rPr>
        <w:t>Guideline three</w:t>
      </w:r>
      <w:r w:rsidR="007E4CE1">
        <w:rPr>
          <w:lang w:eastAsia="en-AU" w:bidi="ar-SA"/>
        </w:rPr>
        <w:t xml:space="preserve"> </w:t>
      </w:r>
      <w:r w:rsidR="00A44114">
        <w:rPr>
          <w:lang w:eastAsia="en-AU" w:bidi="ar-SA"/>
        </w:rPr>
        <w:t>of the 2013 Australian Dietary Guidelines</w:t>
      </w:r>
      <w:r>
        <w:rPr>
          <w:lang w:eastAsia="en-AU" w:bidi="ar-SA"/>
        </w:rPr>
        <w:t xml:space="preserve"> (</w:t>
      </w:r>
      <w:r>
        <w:rPr>
          <w:lang w:bidi="ar-SA"/>
        </w:rPr>
        <w:t>National Heal</w:t>
      </w:r>
      <w:r w:rsidR="001073E6">
        <w:rPr>
          <w:lang w:bidi="ar-SA"/>
        </w:rPr>
        <w:t>th and Medical Research Council</w:t>
      </w:r>
      <w:r>
        <w:rPr>
          <w:lang w:bidi="ar-SA"/>
        </w:rPr>
        <w:t xml:space="preserve"> 2013) relates to saturated fat as follows: </w:t>
      </w:r>
      <w:r w:rsidRPr="000128E4">
        <w:rPr>
          <w:i/>
          <w:lang w:bidi="ar-SA"/>
        </w:rPr>
        <w:t>Limit intake of foods high in saturated fat such as many biscuits, cakes, pastries, pies, processed meats, commercial burgers, pizza, fried foods, potato chips, crisps and other savoury snacks.</w:t>
      </w:r>
      <w:r>
        <w:rPr>
          <w:lang w:bidi="ar-SA"/>
        </w:rPr>
        <w:t xml:space="preserve"> It is noted in the discussion of Guideline 3 that </w:t>
      </w:r>
      <w:r w:rsidRPr="00E47CAE">
        <w:rPr>
          <w:i/>
          <w:lang w:bidi="ar-SA"/>
        </w:rPr>
        <w:t>the intake of TFAs is low in Australia and consequently there is no specific recommendation to limit their intake compared to current intake</w:t>
      </w:r>
      <w:r w:rsidR="00E47CAE">
        <w:rPr>
          <w:lang w:bidi="ar-SA"/>
        </w:rPr>
        <w:t>.</w:t>
      </w:r>
      <w:r>
        <w:rPr>
          <w:lang w:bidi="ar-SA"/>
        </w:rPr>
        <w:t xml:space="preserve"> </w:t>
      </w:r>
      <w:r w:rsidRPr="00E47CAE">
        <w:rPr>
          <w:i/>
          <w:lang w:bidi="ar-SA"/>
        </w:rPr>
        <w:t>However, it is important to ensure that intake remains at its current low level.</w:t>
      </w:r>
      <w:r w:rsidR="00E47CAE">
        <w:rPr>
          <w:lang w:bidi="ar-SA"/>
        </w:rPr>
        <w:t xml:space="preserve"> Reference is made to the </w:t>
      </w:r>
      <w:r w:rsidR="00687261">
        <w:rPr>
          <w:lang w:bidi="ar-SA"/>
        </w:rPr>
        <w:t>FSANZ 2009</w:t>
      </w:r>
      <w:r w:rsidR="00E47CAE">
        <w:rPr>
          <w:lang w:bidi="ar-SA"/>
        </w:rPr>
        <w:t xml:space="preserve"> review of TFAs. In addition, it is stated that the intake of total fat, in particular saturated fat, remains higher than recommended but that the mean total population TFA </w:t>
      </w:r>
      <w:r w:rsidR="001E693C">
        <w:rPr>
          <w:lang w:bidi="ar-SA"/>
        </w:rPr>
        <w:t xml:space="preserve">intake </w:t>
      </w:r>
      <w:r w:rsidR="00E47CAE">
        <w:rPr>
          <w:lang w:bidi="ar-SA"/>
        </w:rPr>
        <w:t>for Australia is estimated to be 0.5% of total dietary energy, which is below the WHO population goal of less than 1% of total dietary energy from TFAs.</w:t>
      </w:r>
    </w:p>
    <w:p w:rsidR="00E47CAE" w:rsidRDefault="00E47CAE" w:rsidP="00E47CAE">
      <w:pPr>
        <w:rPr>
          <w:lang w:bidi="ar-SA"/>
        </w:rPr>
      </w:pPr>
    </w:p>
    <w:p w:rsidR="00545A3A" w:rsidRDefault="00E47CAE" w:rsidP="00E47CAE">
      <w:pPr>
        <w:rPr>
          <w:lang w:bidi="ar-SA"/>
        </w:rPr>
      </w:pPr>
      <w:r>
        <w:rPr>
          <w:lang w:bidi="ar-SA"/>
        </w:rPr>
        <w:t>In th</w:t>
      </w:r>
      <w:r w:rsidR="001E693C">
        <w:rPr>
          <w:lang w:bidi="ar-SA"/>
        </w:rPr>
        <w:t>e New Zealand Dietary Guidelines</w:t>
      </w:r>
      <w:r w:rsidR="001073E6">
        <w:rPr>
          <w:lang w:bidi="ar-SA"/>
        </w:rPr>
        <w:t xml:space="preserve"> (Ministry of Health</w:t>
      </w:r>
      <w:r w:rsidR="0007575A">
        <w:rPr>
          <w:lang w:bidi="ar-SA"/>
        </w:rPr>
        <w:t xml:space="preserve"> 2003)</w:t>
      </w:r>
      <w:r w:rsidR="00545A3A">
        <w:rPr>
          <w:lang w:bidi="ar-SA"/>
        </w:rPr>
        <w:t>, guideline statement three refers</w:t>
      </w:r>
      <w:r w:rsidR="00B871AC">
        <w:rPr>
          <w:lang w:bidi="ar-SA"/>
        </w:rPr>
        <w:t xml:space="preserve"> to fat intake </w:t>
      </w:r>
      <w:r w:rsidR="00545A3A">
        <w:rPr>
          <w:lang w:bidi="ar-SA"/>
        </w:rPr>
        <w:t xml:space="preserve">as follows: </w:t>
      </w:r>
      <w:r w:rsidR="00545A3A" w:rsidRPr="00545A3A">
        <w:rPr>
          <w:i/>
          <w:lang w:bidi="ar-SA"/>
        </w:rPr>
        <w:t>Prepare foods or choose pre-prepa</w:t>
      </w:r>
      <w:r w:rsidR="00545A3A">
        <w:rPr>
          <w:i/>
          <w:lang w:bidi="ar-SA"/>
        </w:rPr>
        <w:t xml:space="preserve">red foods, drinks and snacks: </w:t>
      </w:r>
      <w:r w:rsidR="00545A3A" w:rsidRPr="00545A3A">
        <w:rPr>
          <w:i/>
          <w:lang w:bidi="ar-SA"/>
        </w:rPr>
        <w:t>with minimal added fat, especially saturated fat</w:t>
      </w:r>
      <w:r w:rsidR="00545A3A">
        <w:rPr>
          <w:i/>
          <w:lang w:bidi="ar-SA"/>
        </w:rPr>
        <w:t>……</w:t>
      </w:r>
      <w:r w:rsidR="0007575A">
        <w:rPr>
          <w:lang w:bidi="ar-SA"/>
        </w:rPr>
        <w:t xml:space="preserve"> </w:t>
      </w:r>
      <w:r w:rsidR="00CC6B0D">
        <w:rPr>
          <w:lang w:bidi="ar-SA"/>
        </w:rPr>
        <w:t xml:space="preserve">At that time it was noted that most table spreads were low in TFAs. </w:t>
      </w:r>
      <w:r w:rsidR="00C55F72">
        <w:rPr>
          <w:lang w:bidi="ar-SA"/>
        </w:rPr>
        <w:t xml:space="preserve">In 1991 the New Zealand Nutrition Taskforce recommended that </w:t>
      </w:r>
      <w:r w:rsidR="00C00C20">
        <w:rPr>
          <w:lang w:bidi="ar-SA"/>
        </w:rPr>
        <w:t xml:space="preserve">the proportions of total energy supplied by </w:t>
      </w:r>
      <w:r w:rsidR="001E40C2">
        <w:rPr>
          <w:lang w:bidi="ar-SA"/>
        </w:rPr>
        <w:t>SFAs</w:t>
      </w:r>
      <w:r w:rsidR="00C55F72">
        <w:rPr>
          <w:lang w:bidi="ar-SA"/>
        </w:rPr>
        <w:t xml:space="preserve"> and TFAs should be </w:t>
      </w:r>
      <w:r w:rsidR="00C00C20">
        <w:rPr>
          <w:lang w:bidi="ar-SA"/>
        </w:rPr>
        <w:t>no more than 12%</w:t>
      </w:r>
      <w:r w:rsidR="00C55F72">
        <w:rPr>
          <w:lang w:bidi="ar-SA"/>
        </w:rPr>
        <w:t>.</w:t>
      </w:r>
      <w:r w:rsidR="00136B39">
        <w:rPr>
          <w:lang w:bidi="ar-SA"/>
        </w:rPr>
        <w:t xml:space="preserve"> As noted above, the current recommendation for both New Zealand and Australia is that the intake of SFAs and TFAs combined should be no more than 10% of energy (</w:t>
      </w:r>
      <w:r w:rsidR="00373C52">
        <w:rPr>
          <w:rFonts w:cs="Arial"/>
        </w:rPr>
        <w:t>National Health &amp; Medical Research C</w:t>
      </w:r>
      <w:r w:rsidR="00373C52" w:rsidRPr="00ED213D">
        <w:rPr>
          <w:rFonts w:cs="Arial"/>
        </w:rPr>
        <w:t xml:space="preserve">ouncil and </w:t>
      </w:r>
      <w:r w:rsidR="00373C52">
        <w:rPr>
          <w:rFonts w:cs="Arial"/>
        </w:rPr>
        <w:t>M</w:t>
      </w:r>
      <w:r w:rsidR="00373C52" w:rsidRPr="00ED213D">
        <w:rPr>
          <w:rFonts w:cs="Arial"/>
        </w:rPr>
        <w:t xml:space="preserve">inistry of </w:t>
      </w:r>
      <w:r w:rsidR="00373C52">
        <w:rPr>
          <w:rFonts w:cs="Arial"/>
        </w:rPr>
        <w:t>Health</w:t>
      </w:r>
      <w:r w:rsidR="00373C52" w:rsidRPr="00ED213D">
        <w:rPr>
          <w:rFonts w:cs="Arial"/>
        </w:rPr>
        <w:t xml:space="preserve"> </w:t>
      </w:r>
      <w:r w:rsidR="00136B39">
        <w:rPr>
          <w:lang w:bidi="ar-SA"/>
        </w:rPr>
        <w:t>2006).</w:t>
      </w:r>
    </w:p>
    <w:p w:rsidR="00CE1D03" w:rsidRDefault="00CE1D03" w:rsidP="00E47CAE">
      <w:pPr>
        <w:rPr>
          <w:lang w:bidi="ar-SA"/>
        </w:rPr>
      </w:pPr>
    </w:p>
    <w:p w:rsidR="00CE1D03" w:rsidRPr="00D41071" w:rsidRDefault="00CE1D03" w:rsidP="00CE1D03">
      <w:pPr>
        <w:rPr>
          <w:b/>
        </w:rPr>
      </w:pPr>
      <w:r>
        <w:t xml:space="preserve">Saturated fat is a mandated nutrient in the NIP providing information to help consumers follow the dietary guidelines and make informed food choices. </w:t>
      </w:r>
    </w:p>
    <w:p w:rsidR="0097052C" w:rsidRDefault="00273512" w:rsidP="00A22A17">
      <w:pPr>
        <w:pStyle w:val="Heading3"/>
      </w:pPr>
      <w:r>
        <w:t>3.4</w:t>
      </w:r>
      <w:r w:rsidR="0097052C">
        <w:t>.2</w:t>
      </w:r>
      <w:r w:rsidR="0097052C">
        <w:tab/>
      </w:r>
      <w:r w:rsidR="00F11DF6">
        <w:t>Distribution of</w:t>
      </w:r>
      <w:r w:rsidR="00A22A17">
        <w:t xml:space="preserve"> </w:t>
      </w:r>
      <w:r w:rsidR="00F11DF6">
        <w:t>d</w:t>
      </w:r>
      <w:r w:rsidR="0097052C">
        <w:t xml:space="preserve">ietary intakes of </w:t>
      </w:r>
      <w:r w:rsidR="00D41071" w:rsidRPr="00903916">
        <w:t>trans</w:t>
      </w:r>
      <w:r w:rsidR="00D41071">
        <w:t xml:space="preserve"> fatty acids</w:t>
      </w:r>
    </w:p>
    <w:p w:rsidR="003E269C" w:rsidRDefault="00112410" w:rsidP="00E47CAE">
      <w:r>
        <w:t xml:space="preserve">The </w:t>
      </w:r>
      <w:r w:rsidR="0097052C">
        <w:t xml:space="preserve">2009 WHO scientific update on TFAs refers to the need to consider the TFA intakes of those subgroups of the population with higher intakes than the population mean (WHO 2009). </w:t>
      </w:r>
      <w:r w:rsidR="00BA55D3">
        <w:t>The summary data from the Australian NNPAS show</w:t>
      </w:r>
      <w:r w:rsidR="00133BD4">
        <w:t xml:space="preserve">ed that there were no </w:t>
      </w:r>
      <w:r w:rsidR="00D86625">
        <w:t xml:space="preserve">important </w:t>
      </w:r>
      <w:r w:rsidR="00133BD4">
        <w:t xml:space="preserve">differences in </w:t>
      </w:r>
      <w:r w:rsidR="00D86625">
        <w:t xml:space="preserve">mean </w:t>
      </w:r>
      <w:r w:rsidR="00133BD4">
        <w:t xml:space="preserve">TFA intake across age/gender groups and that the average </w:t>
      </w:r>
      <w:r>
        <w:t xml:space="preserve">TFA </w:t>
      </w:r>
      <w:r w:rsidR="00133BD4">
        <w:t xml:space="preserve">intake across all groups assessed was 0.6% of dietary energy, well below the 1% recommended by the WHO. </w:t>
      </w:r>
      <w:r w:rsidR="0097052C">
        <w:t xml:space="preserve">At the current time, the </w:t>
      </w:r>
      <w:r w:rsidR="00D41071">
        <w:t>FSANZ</w:t>
      </w:r>
      <w:r w:rsidR="0097052C">
        <w:t xml:space="preserve"> </w:t>
      </w:r>
      <w:r w:rsidR="00D41071">
        <w:t xml:space="preserve">2009 </w:t>
      </w:r>
      <w:r w:rsidR="0097052C">
        <w:t>survey provides the most recent estimate of the distribution of TFA intakes</w:t>
      </w:r>
      <w:r>
        <w:t xml:space="preserve"> for age/gender groups</w:t>
      </w:r>
      <w:r w:rsidR="0097052C">
        <w:t xml:space="preserve"> in Austral</w:t>
      </w:r>
      <w:r w:rsidR="00D263C3">
        <w:t>ia and New Zealand (FSANZ 2009).</w:t>
      </w:r>
      <w:r w:rsidR="0097052C">
        <w:t xml:space="preserve"> In 2009, </w:t>
      </w:r>
      <w:r>
        <w:t>u</w:t>
      </w:r>
      <w:r w:rsidR="003E269C" w:rsidRPr="008673C5">
        <w:t xml:space="preserve">sing </w:t>
      </w:r>
      <w:r w:rsidR="00F36790">
        <w:t xml:space="preserve">1995 and </w:t>
      </w:r>
      <w:r w:rsidR="003E269C" w:rsidRPr="008673C5">
        <w:t>2007 Australian and 2002 New Zealand dietary intake data, the 95th percentile for total TFA intake was estimated to be 1.1% and 1.2 % of dietary energy for the Australian and New Zealand populations, respectively.</w:t>
      </w:r>
      <w:r>
        <w:t xml:space="preserve"> </w:t>
      </w:r>
      <w:r w:rsidR="005B7061">
        <w:t xml:space="preserve">Given the continued low level of TFAs in foods and the recent mean estimate of TFA intake in Australia, it is unlikely there has been a </w:t>
      </w:r>
      <w:r w:rsidR="00F36790" w:rsidRPr="00F36790">
        <w:t>large increase in TFA intakes among t</w:t>
      </w:r>
      <w:r w:rsidR="00F36790">
        <w:t>hose with above average intakes</w:t>
      </w:r>
      <w:r w:rsidR="005B7061">
        <w:t>.</w:t>
      </w:r>
    </w:p>
    <w:p w:rsidR="003E269C" w:rsidRDefault="003E269C" w:rsidP="00E47CAE"/>
    <w:p w:rsidR="0097052C" w:rsidRPr="00545A3A" w:rsidRDefault="0097052C" w:rsidP="00E47CAE">
      <w:r>
        <w:t>The foods found to contribute disproportionally to high total TFA intakes in Australia and New Zealand in 2009 included pastry products</w:t>
      </w:r>
      <w:r w:rsidR="00F36790">
        <w:t xml:space="preserve"> such as meat pies</w:t>
      </w:r>
      <w:r>
        <w:t xml:space="preserve">, beef sausages, processed luncheon meats and creamy style pasta dishes. </w:t>
      </w:r>
      <w:r w:rsidR="00A809F4">
        <w:t xml:space="preserve">The levels of TFAs in sausage rolls and meat pies determined in the 2013 survey were similar to the levels reported in the FSANZ 2009 survey indicating that the contribution of TFAs from these foods is not likely to have changed. </w:t>
      </w:r>
      <w:r>
        <w:t xml:space="preserve">It is </w:t>
      </w:r>
      <w:r w:rsidR="00A809F4">
        <w:t xml:space="preserve">also </w:t>
      </w:r>
      <w:r>
        <w:t>important to note that many of the foods identified as contributing disproportionally to high total TFA intake contain ruminant TFAs</w:t>
      </w:r>
      <w:r w:rsidR="00A809F4">
        <w:t>, therefore measures to reduce the level of manufactured TFAs would not have a major effect on the contribution of TFAs from these foods to total TFA intake.</w:t>
      </w:r>
    </w:p>
    <w:p w:rsidR="004A161D" w:rsidRDefault="004A161D">
      <w:pPr>
        <w:widowControl/>
        <w:rPr>
          <w:b/>
          <w:bCs/>
          <w:lang w:eastAsia="en-AU" w:bidi="ar-SA"/>
        </w:rPr>
      </w:pPr>
      <w:r>
        <w:br w:type="page"/>
      </w:r>
    </w:p>
    <w:p w:rsidR="00741937" w:rsidRDefault="00273512" w:rsidP="00741937">
      <w:pPr>
        <w:pStyle w:val="Heading3"/>
      </w:pPr>
      <w:r>
        <w:lastRenderedPageBreak/>
        <w:t>3.4</w:t>
      </w:r>
      <w:r w:rsidR="00741937">
        <w:t>.</w:t>
      </w:r>
      <w:r w:rsidR="00472421">
        <w:t>3</w:t>
      </w:r>
      <w:r w:rsidR="007E4CE1">
        <w:tab/>
      </w:r>
      <w:r w:rsidR="00D41071">
        <w:t>International</w:t>
      </w:r>
      <w:r w:rsidR="002C2483">
        <w:t xml:space="preserve"> requirements for the declaration of </w:t>
      </w:r>
      <w:r w:rsidR="002C2483" w:rsidRPr="00903916">
        <w:t>trans</w:t>
      </w:r>
      <w:r w:rsidR="002C2483">
        <w:t xml:space="preserve"> fatty acids on food labels</w:t>
      </w:r>
      <w:bookmarkEnd w:id="33"/>
    </w:p>
    <w:p w:rsidR="00CE4156" w:rsidRDefault="000A2A20" w:rsidP="000A2A20">
      <w:r>
        <w:rPr>
          <w:lang w:eastAsia="en-AU" w:bidi="ar-SA"/>
        </w:rPr>
        <w:t xml:space="preserve">A summary of </w:t>
      </w:r>
      <w:r w:rsidR="002C2483">
        <w:t xml:space="preserve">requirements for the declaration of </w:t>
      </w:r>
      <w:r>
        <w:t>TFAs</w:t>
      </w:r>
      <w:r w:rsidR="002C2483">
        <w:t xml:space="preserve"> on food labels in </w:t>
      </w:r>
      <w:r>
        <w:t xml:space="preserve">Australia/New Zealand, Canada, the USA, </w:t>
      </w:r>
      <w:r w:rsidR="002C2483">
        <w:t xml:space="preserve">the EU </w:t>
      </w:r>
      <w:r>
        <w:t xml:space="preserve">and from Codex </w:t>
      </w:r>
      <w:r w:rsidRPr="00930A1E">
        <w:t xml:space="preserve">Alimentarius is at </w:t>
      </w:r>
      <w:r w:rsidR="00B6254E" w:rsidRPr="00930A1E">
        <w:t>Attachment 2</w:t>
      </w:r>
      <w:r w:rsidRPr="00930A1E">
        <w:t>.</w:t>
      </w:r>
      <w:r>
        <w:t xml:space="preserve"> </w:t>
      </w:r>
    </w:p>
    <w:p w:rsidR="00CE4156" w:rsidRDefault="00CE4156" w:rsidP="005B45E3"/>
    <w:p w:rsidR="002C2483" w:rsidRDefault="000A2A20" w:rsidP="005B45E3">
      <w:r>
        <w:t xml:space="preserve">TFA declarations in nutrition information panels are mandatory in Canada and the USA while </w:t>
      </w:r>
      <w:r w:rsidR="00A644F4">
        <w:t xml:space="preserve">being </w:t>
      </w:r>
      <w:r>
        <w:t xml:space="preserve">voluntary in Australia/New </w:t>
      </w:r>
      <w:r w:rsidRPr="00930A1E">
        <w:t>Zealand</w:t>
      </w:r>
      <w:r w:rsidR="00C0124F" w:rsidRPr="00930A1E">
        <w:t xml:space="preserve"> (see Table 1</w:t>
      </w:r>
      <w:r w:rsidR="00B6254E" w:rsidRPr="00930A1E">
        <w:t xml:space="preserve"> at Attachment 2</w:t>
      </w:r>
      <w:r w:rsidR="00C0124F" w:rsidRPr="00930A1E">
        <w:t>)</w:t>
      </w:r>
      <w:r w:rsidRPr="00930A1E">
        <w:t>.</w:t>
      </w:r>
      <w:r w:rsidR="00CE4156">
        <w:t xml:space="preserve"> Of interest is the use of a threshold approach in Canada and the USA whereby the TFA content does not need to be declared below a specified concentration</w:t>
      </w:r>
      <w:r w:rsidR="00D635A8">
        <w:t xml:space="preserve"> per serving</w:t>
      </w:r>
      <w:r w:rsidR="00CE4156">
        <w:t>. The EU regulations, which will become mandatory from December 2016, do not permit voluntary TFA declarations. The Codex guideline states that TFA content must be declared if a nutrition or health claim is made a</w:t>
      </w:r>
      <w:r w:rsidR="00C66DFF">
        <w:t>bout</w:t>
      </w:r>
      <w:r w:rsidR="00CE4156">
        <w:t xml:space="preserve"> TFAs. This </w:t>
      </w:r>
      <w:r w:rsidR="00A644F4">
        <w:t>approach has been consistently implemented</w:t>
      </w:r>
      <w:r w:rsidR="00CE4156">
        <w:t xml:space="preserve"> across Australia/New Zealand, Canada, USA and in the EU.</w:t>
      </w:r>
    </w:p>
    <w:p w:rsidR="00CE4156" w:rsidRDefault="00CE4156" w:rsidP="005B45E3"/>
    <w:p w:rsidR="00C0124F" w:rsidRDefault="00CE4156" w:rsidP="005B45E3">
      <w:r>
        <w:t xml:space="preserve">A limited number of nutrition content claims about TFAs are permitted in Australia/New Zealand, Canada and in the </w:t>
      </w:r>
      <w:r w:rsidRPr="00930A1E">
        <w:t>EU</w:t>
      </w:r>
      <w:r w:rsidR="00C0124F" w:rsidRPr="00930A1E">
        <w:t xml:space="preserve"> (</w:t>
      </w:r>
      <w:r w:rsidR="00B6254E" w:rsidRPr="00930A1E">
        <w:t>see Table 2 at Attachment 2</w:t>
      </w:r>
      <w:r w:rsidR="00C0124F" w:rsidRPr="00930A1E">
        <w:t>)</w:t>
      </w:r>
      <w:r w:rsidRPr="00930A1E">
        <w:t>.</w:t>
      </w:r>
      <w:r w:rsidR="00C0124F">
        <w:t xml:space="preserve"> </w:t>
      </w:r>
      <w:r w:rsidR="00C0124F">
        <w:rPr>
          <w:i/>
        </w:rPr>
        <w:t xml:space="preserve">Low </w:t>
      </w:r>
      <w:r w:rsidR="00C0124F">
        <w:t xml:space="preserve">TFA claims are not permitted in any of the countries reviewed due to the lack of a reference value to define such a claim. Nutrition content claims about TFAs are not permitted in the USA. </w:t>
      </w:r>
    </w:p>
    <w:p w:rsidR="00C0124F" w:rsidRDefault="00C0124F" w:rsidP="005B45E3"/>
    <w:p w:rsidR="00CE4156" w:rsidRDefault="00C0124F" w:rsidP="005B45E3">
      <w:r>
        <w:t>Ingredient labelling is another potential mechanism for providing information about TFA content of foods to consumers (</w:t>
      </w:r>
      <w:r w:rsidRPr="00930A1E">
        <w:t>see Table 3</w:t>
      </w:r>
      <w:r w:rsidR="00B6254E" w:rsidRPr="00930A1E">
        <w:t xml:space="preserve"> at Attachment 2</w:t>
      </w:r>
      <w:r w:rsidRPr="00930A1E">
        <w:t>).</w:t>
      </w:r>
      <w:r>
        <w:t xml:space="preserve"> </w:t>
      </w:r>
      <w:r w:rsidR="005B45E3">
        <w:t xml:space="preserve">Codex and all countries reviewed require fats/oils that have been hydrogenated to be declared as </w:t>
      </w:r>
      <w:r w:rsidR="005B45E3" w:rsidRPr="005B45E3">
        <w:rPr>
          <w:i/>
        </w:rPr>
        <w:t>hydrogenated</w:t>
      </w:r>
      <w:r w:rsidR="005B45E3">
        <w:t xml:space="preserve"> or in some cases </w:t>
      </w:r>
      <w:r w:rsidR="005B45E3" w:rsidRPr="005B45E3">
        <w:rPr>
          <w:i/>
        </w:rPr>
        <w:t>partially hydrogenated</w:t>
      </w:r>
      <w:r w:rsidR="005B45E3">
        <w:t xml:space="preserve"> (as appropriate) in the ingredient list. Ingredient lists are only useful to the consumer in identifying the presence of TFAs if </w:t>
      </w:r>
      <w:r w:rsidR="005B45E3" w:rsidRPr="005B45E3">
        <w:rPr>
          <w:i/>
        </w:rPr>
        <w:t>partially hydrogenated</w:t>
      </w:r>
      <w:r w:rsidR="005B45E3">
        <w:rPr>
          <w:i/>
        </w:rPr>
        <w:t xml:space="preserve"> </w:t>
      </w:r>
      <w:r w:rsidR="005B45E3">
        <w:t xml:space="preserve">is </w:t>
      </w:r>
      <w:r w:rsidR="00C66DFF">
        <w:t xml:space="preserve">declared </w:t>
      </w:r>
      <w:r w:rsidR="005B45E3">
        <w:t>when partially hydrogenated fats/oils have been used. It appears that in the EU, this distinction is not required.</w:t>
      </w:r>
    </w:p>
    <w:p w:rsidR="00472421" w:rsidRDefault="00472421" w:rsidP="005B45E3"/>
    <w:p w:rsidR="007C0BBC" w:rsidRPr="00D41071" w:rsidRDefault="00D41071" w:rsidP="00C822C6">
      <w:pPr>
        <w:rPr>
          <w:b/>
        </w:rPr>
      </w:pPr>
      <w:r>
        <w:t>In summary, t</w:t>
      </w:r>
      <w:r w:rsidR="00472421">
        <w:t>he Code currently permits the voluntary declaration of TFAs in the nutrition information panel and requires the declaration of TFA when certain nutrition content and health claims are made</w:t>
      </w:r>
      <w:r w:rsidR="00BC576D">
        <w:t>, which is consistent with the Codex guideline</w:t>
      </w:r>
      <w:r w:rsidR="00472421">
        <w:t>. In addition, there are conditions for nutrition content claims about TFAs and SFAs and TFAs combined</w:t>
      </w:r>
      <w:r w:rsidR="007D620D">
        <w:t>,</w:t>
      </w:r>
      <w:r w:rsidR="00472421">
        <w:t xml:space="preserve"> which give industry an opportunity to provide consumers with information about the TFA content of their products. While similar claims are permitted in Canada and the EU, such claims are not currently permitted in the USA. </w:t>
      </w:r>
      <w:r w:rsidR="007D620D">
        <w:t>In the absence of a nutrition content claim, voluntary</w:t>
      </w:r>
      <w:r w:rsidR="00472421">
        <w:t xml:space="preserve"> TFA declarations</w:t>
      </w:r>
      <w:r w:rsidR="007D620D">
        <w:t xml:space="preserve"> in the nutrition information panel</w:t>
      </w:r>
      <w:r w:rsidR="00472421">
        <w:t xml:space="preserve"> are not permitted in the EU.</w:t>
      </w:r>
    </w:p>
    <w:p w:rsidR="00D41071" w:rsidRDefault="00273512" w:rsidP="00D41071">
      <w:pPr>
        <w:pStyle w:val="Heading3"/>
      </w:pPr>
      <w:r>
        <w:t>3.4</w:t>
      </w:r>
      <w:r w:rsidR="00D41071">
        <w:t>.4</w:t>
      </w:r>
      <w:r w:rsidR="00D41071">
        <w:tab/>
        <w:t>Threshold labelling approach</w:t>
      </w:r>
    </w:p>
    <w:p w:rsidR="00FA3873" w:rsidRDefault="00C822C6" w:rsidP="00C822C6">
      <w:r>
        <w:t>When mandatory TFA labelling was introduced in Canada and the USA in 2005 and 2006 respectively, the estimated TFA intakes were higher than the current estimates for Australia and New Zealand</w:t>
      </w:r>
      <w:r w:rsidR="00566BA3">
        <w:t>.</w:t>
      </w:r>
      <w:r w:rsidR="00AF7C9B">
        <w:t xml:space="preserve"> In the</w:t>
      </w:r>
      <w:r w:rsidR="00566BA3">
        <w:t xml:space="preserve"> </w:t>
      </w:r>
      <w:r>
        <w:t>USA</w:t>
      </w:r>
      <w:r w:rsidR="00566BA3">
        <w:t>,</w:t>
      </w:r>
      <w:r>
        <w:t xml:space="preserve"> </w:t>
      </w:r>
      <w:r w:rsidR="00566BA3">
        <w:t xml:space="preserve">mean </w:t>
      </w:r>
      <w:r>
        <w:t>TFA intake</w:t>
      </w:r>
      <w:r w:rsidR="00AF7C9B">
        <w:t>s</w:t>
      </w:r>
      <w:r>
        <w:t xml:space="preserve"> </w:t>
      </w:r>
      <w:r w:rsidR="00AF7C9B">
        <w:t>were</w:t>
      </w:r>
      <w:r>
        <w:t xml:space="preserve"> 2.6% of </w:t>
      </w:r>
      <w:r w:rsidR="00273512">
        <w:t xml:space="preserve">dietary </w:t>
      </w:r>
      <w:r>
        <w:t>energy</w:t>
      </w:r>
      <w:r w:rsidR="00AF7C9B">
        <w:t xml:space="preserve"> in 2002 while in</w:t>
      </w:r>
      <w:r>
        <w:t xml:space="preserve"> Canada</w:t>
      </w:r>
      <w:r w:rsidR="00AF7C9B">
        <w:t xml:space="preserve"> the </w:t>
      </w:r>
      <w:r w:rsidR="00566BA3">
        <w:t>mean TFA intake</w:t>
      </w:r>
      <w:r>
        <w:t xml:space="preserve"> </w:t>
      </w:r>
      <w:r w:rsidR="00566BA3">
        <w:t xml:space="preserve">was </w:t>
      </w:r>
      <w:r w:rsidR="002C0CEC">
        <w:t xml:space="preserve">3.7% of </w:t>
      </w:r>
      <w:r w:rsidR="00273512">
        <w:t>dietary</w:t>
      </w:r>
      <w:r w:rsidR="002C0CEC">
        <w:t xml:space="preserve"> energy</w:t>
      </w:r>
      <w:r>
        <w:t xml:space="preserve"> in the mid 1990’s</w:t>
      </w:r>
      <w:r w:rsidR="00566BA3">
        <w:t>.</w:t>
      </w:r>
      <w:r>
        <w:t xml:space="preserve"> In the USA and Canada, the declaration of 0 g</w:t>
      </w:r>
      <w:r w:rsidR="007D3224">
        <w:t xml:space="preserve"> of</w:t>
      </w:r>
      <w:r>
        <w:t xml:space="preserve"> TFAs per serving is permitted on food labels below a specified threshold TFA concentration</w:t>
      </w:r>
      <w:r w:rsidR="002C0CEC">
        <w:t xml:space="preserve"> (0.5 g per serving in the USA)</w:t>
      </w:r>
      <w:r>
        <w:t xml:space="preserve">. </w:t>
      </w:r>
    </w:p>
    <w:p w:rsidR="00FA3873" w:rsidRDefault="00FA3873" w:rsidP="00C822C6"/>
    <w:p w:rsidR="00C822C6" w:rsidRDefault="00C822C6" w:rsidP="004A161D">
      <w:r>
        <w:t>Information on the serving size of foods sampled in the 2013 survey</w:t>
      </w:r>
      <w:r w:rsidR="002C0CEC">
        <w:t xml:space="preserve"> that were carrying nutrition information panels,</w:t>
      </w:r>
      <w:r>
        <w:t xml:space="preserve"> is not available</w:t>
      </w:r>
      <w:r w:rsidR="002C0CEC">
        <w:t>.</w:t>
      </w:r>
      <w:r>
        <w:t xml:space="preserve"> </w:t>
      </w:r>
      <w:r w:rsidR="00FE7A74">
        <w:t>It is therefore not possible to evaluate t</w:t>
      </w:r>
      <w:r w:rsidR="002C0CEC">
        <w:t>he</w:t>
      </w:r>
      <w:r>
        <w:t xml:space="preserve"> effect of a possible threshold labelling approach, based on TFA concentration per serving size, on </w:t>
      </w:r>
      <w:r w:rsidR="00403CCC">
        <w:t xml:space="preserve">the extent to which foods would actually </w:t>
      </w:r>
      <w:r w:rsidR="00FA3873">
        <w:t xml:space="preserve">be required to </w:t>
      </w:r>
      <w:r w:rsidR="00403CCC">
        <w:t xml:space="preserve">carry </w:t>
      </w:r>
      <w:r>
        <w:t>TFA label declarations</w:t>
      </w:r>
      <w:r w:rsidR="00FE7A74">
        <w:t>,</w:t>
      </w:r>
      <w:r>
        <w:t xml:space="preserve"> from the current survey. </w:t>
      </w:r>
      <w:r w:rsidR="00403CCC">
        <w:t>Given</w:t>
      </w:r>
      <w:r>
        <w:t xml:space="preserve"> the general low levels of TFAs in the foods sampled, it could </w:t>
      </w:r>
      <w:r w:rsidR="00403CCC">
        <w:t>however</w:t>
      </w:r>
      <w:r w:rsidR="00FA3873">
        <w:t>,</w:t>
      </w:r>
      <w:r w:rsidR="00403CCC">
        <w:t xml:space="preserve"> </w:t>
      </w:r>
      <w:r>
        <w:t xml:space="preserve">be expected that many labelled foods </w:t>
      </w:r>
      <w:r w:rsidR="00473824">
        <w:t>would not have a figure for TFA content in the NIP</w:t>
      </w:r>
      <w:r w:rsidR="001C55F0">
        <w:t xml:space="preserve"> under a threshold approach </w:t>
      </w:r>
      <w:r w:rsidR="00566BA3">
        <w:t xml:space="preserve">similar to that </w:t>
      </w:r>
      <w:r w:rsidR="00AF7C9B">
        <w:t>adopted</w:t>
      </w:r>
      <w:r w:rsidR="001C55F0">
        <w:t xml:space="preserve"> in the USA</w:t>
      </w:r>
      <w:r w:rsidR="00403CCC">
        <w:t xml:space="preserve"> or Canada</w:t>
      </w:r>
      <w:r>
        <w:t>.</w:t>
      </w:r>
      <w:r w:rsidR="002C0CEC">
        <w:t xml:space="preserve"> </w:t>
      </w:r>
      <w:r w:rsidR="003A0193">
        <w:t>Note that serving sizes are included in legislation in both Canada and the USA, whereas in Australia and New Zealand, serving sizes are determined by the manufacturer.</w:t>
      </w:r>
    </w:p>
    <w:p w:rsidR="003E2746" w:rsidRDefault="005B276E" w:rsidP="003B3156">
      <w:r>
        <w:lastRenderedPageBreak/>
        <w:t>Considerably</w:t>
      </w:r>
      <w:r w:rsidR="00C822C6">
        <w:t xml:space="preserve"> more work would need to be undertaken to evaluate the effect of a threshold labelling approach on the extent to which products with manufactured TFA</w:t>
      </w:r>
      <w:r w:rsidR="00D71DAA">
        <w:t xml:space="preserve"> (as opposed to ruminant TFA)</w:t>
      </w:r>
      <w:r w:rsidR="00C822C6">
        <w:t xml:space="preserve"> would carry TFA declarations. The high contribution of ruminant TFA to total TF</w:t>
      </w:r>
      <w:r w:rsidR="005915AF">
        <w:t>A intakes</w:t>
      </w:r>
      <w:r w:rsidR="00673647">
        <w:t xml:space="preserve"> in Australia/New Zealand</w:t>
      </w:r>
      <w:r w:rsidR="005915AF">
        <w:t xml:space="preserve"> is noteworthy</w:t>
      </w:r>
      <w:r w:rsidR="00D71DAA">
        <w:t xml:space="preserve">. </w:t>
      </w:r>
      <w:r w:rsidR="00C822C6">
        <w:t xml:space="preserve">Should there be further consideration of mandating TFA declarations on food labels, the costs and benefits of a threshold labelling approach and other approaches would need to be evaluated including any impacts on consumer purchase behaviour, </w:t>
      </w:r>
      <w:r w:rsidR="00D71DAA">
        <w:t xml:space="preserve">blood cholesterol levels, </w:t>
      </w:r>
      <w:r w:rsidR="00C822C6">
        <w:t>product formulations and industry costs.</w:t>
      </w:r>
      <w:r w:rsidR="00673647">
        <w:t xml:space="preserve"> </w:t>
      </w:r>
    </w:p>
    <w:p w:rsidR="00273512" w:rsidRDefault="00273512" w:rsidP="00273512">
      <w:pPr>
        <w:pStyle w:val="Heading2"/>
      </w:pPr>
      <w:bookmarkStart w:id="34" w:name="_Toc409699758"/>
      <w:r>
        <w:t>3.5</w:t>
      </w:r>
      <w:r>
        <w:tab/>
        <w:t>Effectiveness of voluntary and regulatory approaches for reducing TFAs in foods</w:t>
      </w:r>
      <w:bookmarkEnd w:id="34"/>
    </w:p>
    <w:p w:rsidR="00273512" w:rsidRDefault="00273512" w:rsidP="00273512">
      <w:r w:rsidRPr="00741937">
        <w:t>Downs et a</w:t>
      </w:r>
      <w:r>
        <w:t>l.</w:t>
      </w:r>
      <w:r w:rsidRPr="00741937">
        <w:t xml:space="preserve"> (2013) have published a systematic review of the effectiveness of policies designed to reduce the TFA content of food. </w:t>
      </w:r>
      <w:r w:rsidR="003A0193">
        <w:t xml:space="preserve">They searched only the peer-reviewed literature and did not include government reports. </w:t>
      </w:r>
      <w:r w:rsidRPr="00741937">
        <w:t>Twenty-six studies were included in the review; five involved voluntary self-regulation, eight labelling alone; four labelling and voluntary limits, five mandatory limits and local bans, and four mandatory limits and national bans. The majority of studies evaluated policies in USA, Canada and Denmark. It is important to note that although reference is made to Denmark and parts of the USA ‘banning’ TFAs in foods, the regulations that were put in place permit a specified level of TFAs to be present in foods. The authors of the review concluded that reductions in the TFA content of foods have occurred, irrespective of the particular policy used. They considered that national and local bans, that is, mandatory limits on TFA content, were most effective. The authors also commented that monitoring TFA levels in the food supply is important to ensure that progress in reducing TFA levels continues.</w:t>
      </w:r>
    </w:p>
    <w:p w:rsidR="007B30E2" w:rsidRDefault="00186EC0" w:rsidP="00076E2B">
      <w:pPr>
        <w:pStyle w:val="Heading1"/>
      </w:pPr>
      <w:bookmarkStart w:id="35" w:name="_Toc378157305"/>
      <w:bookmarkStart w:id="36" w:name="_Toc409699759"/>
      <w:r>
        <w:t>4</w:t>
      </w:r>
      <w:r w:rsidR="007B30E2" w:rsidRPr="00AF397D">
        <w:tab/>
      </w:r>
      <w:r w:rsidR="00F91B6E">
        <w:t>Conclusion</w:t>
      </w:r>
      <w:r w:rsidR="00D76999">
        <w:t>s</w:t>
      </w:r>
      <w:bookmarkEnd w:id="35"/>
      <w:bookmarkEnd w:id="36"/>
    </w:p>
    <w:p w:rsidR="0027116A" w:rsidRDefault="00753540" w:rsidP="0027116A">
      <w:r>
        <w:t>The</w:t>
      </w:r>
      <w:r w:rsidR="000A5289">
        <w:t xml:space="preserve"> key findings from this technical</w:t>
      </w:r>
      <w:r w:rsidR="00C630F2">
        <w:t xml:space="preserve"> evaluation of Recommendation 13</w:t>
      </w:r>
      <w:r w:rsidR="000A5289">
        <w:t xml:space="preserve"> are as follows:</w:t>
      </w:r>
      <w:bookmarkStart w:id="37" w:name="_Toc11735643"/>
      <w:bookmarkStart w:id="38" w:name="_Toc29883130"/>
      <w:bookmarkStart w:id="39" w:name="_Toc41906817"/>
      <w:bookmarkStart w:id="40" w:name="_Toc41907564"/>
      <w:bookmarkStart w:id="41" w:name="_Toc43112360"/>
      <w:bookmarkStart w:id="42" w:name="_Toc378157306"/>
      <w:bookmarkEnd w:id="6"/>
      <w:bookmarkEnd w:id="7"/>
      <w:bookmarkEnd w:id="8"/>
      <w:bookmarkEnd w:id="9"/>
      <w:bookmarkEnd w:id="10"/>
    </w:p>
    <w:p w:rsidR="00E85257" w:rsidRDefault="00E85257" w:rsidP="00E85257"/>
    <w:p w:rsidR="00E85257" w:rsidRPr="006D4D0F" w:rsidRDefault="00E85257" w:rsidP="00E85257">
      <w:pPr>
        <w:pStyle w:val="FSBullet"/>
      </w:pPr>
      <w:r>
        <w:t>While TFAs were detected in most product categories, t</w:t>
      </w:r>
      <w:r w:rsidRPr="006D4D0F">
        <w:t xml:space="preserve">he </w:t>
      </w:r>
      <w:r>
        <w:t xml:space="preserve">median </w:t>
      </w:r>
      <w:r w:rsidRPr="006D4D0F">
        <w:t>concentration</w:t>
      </w:r>
      <w:r>
        <w:t>s</w:t>
      </w:r>
      <w:r w:rsidRPr="006D4D0F">
        <w:t xml:space="preserve"> of TFAs in 500 foods sampled in Australia and New Zealand in 2013 w</w:t>
      </w:r>
      <w:r>
        <w:t>ere</w:t>
      </w:r>
      <w:r w:rsidRPr="006D4D0F">
        <w:t xml:space="preserve"> generally low. </w:t>
      </w:r>
      <w:r>
        <w:t>Excluding foods likely to contain ruminant TFAs, approximately 86%</w:t>
      </w:r>
      <w:r w:rsidRPr="006D4D0F">
        <w:t xml:space="preserve"> of </w:t>
      </w:r>
      <w:r>
        <w:t>the foods</w:t>
      </w:r>
      <w:r w:rsidRPr="006D4D0F">
        <w:t xml:space="preserve"> had </w:t>
      </w:r>
      <w:r>
        <w:t xml:space="preserve">TFA </w:t>
      </w:r>
      <w:r w:rsidRPr="006D4D0F">
        <w:t xml:space="preserve">concentrations </w:t>
      </w:r>
      <w:r>
        <w:t>below</w:t>
      </w:r>
      <w:r w:rsidRPr="006D4D0F">
        <w:t xml:space="preserve"> 2 g/100</w:t>
      </w:r>
      <w:r>
        <w:t xml:space="preserve"> </w:t>
      </w:r>
      <w:r w:rsidRPr="006D4D0F">
        <w:t>g fat, the limit adopted</w:t>
      </w:r>
      <w:r>
        <w:t xml:space="preserve"> for manufactured TFAs</w:t>
      </w:r>
      <w:r w:rsidRPr="006D4D0F">
        <w:t xml:space="preserve"> in Danish legislation in 2003. </w:t>
      </w:r>
    </w:p>
    <w:p w:rsidR="00E85257" w:rsidRPr="006D4D0F" w:rsidRDefault="00E85257" w:rsidP="00E85257"/>
    <w:p w:rsidR="00E85257" w:rsidRPr="001D2FB9" w:rsidRDefault="00E85257" w:rsidP="00E85257">
      <w:pPr>
        <w:pStyle w:val="FSBullet"/>
        <w:rPr>
          <w:lang w:val="en-AU"/>
        </w:rPr>
      </w:pPr>
      <w:r>
        <w:t xml:space="preserve">On the basis that the </w:t>
      </w:r>
      <w:r w:rsidRPr="006D4D0F">
        <w:t xml:space="preserve">analytical results did not show an </w:t>
      </w:r>
      <w:r w:rsidR="00FF767F">
        <w:t xml:space="preserve">increase in TFA concentrations </w:t>
      </w:r>
      <w:r w:rsidRPr="006D4D0F">
        <w:t xml:space="preserve">from previous surveys, </w:t>
      </w:r>
      <w:r>
        <w:t xml:space="preserve">dietary intake of TFAs is likely to </w:t>
      </w:r>
      <w:r w:rsidR="00FF767F">
        <w:t>remain</w:t>
      </w:r>
      <w:r>
        <w:t xml:space="preserve"> low and below the WHO recommended level of 1% dietary energy in both Australia and New Zealand</w:t>
      </w:r>
      <w:r w:rsidRPr="006D4D0F">
        <w:t xml:space="preserve">. </w:t>
      </w:r>
    </w:p>
    <w:p w:rsidR="00E85257" w:rsidRPr="001D2FB9" w:rsidRDefault="00E85257" w:rsidP="00E85257">
      <w:pPr>
        <w:pStyle w:val="FSBullet"/>
        <w:numPr>
          <w:ilvl w:val="0"/>
          <w:numId w:val="0"/>
        </w:numPr>
        <w:ind w:left="567"/>
        <w:rPr>
          <w:lang w:val="en-AU"/>
        </w:rPr>
      </w:pPr>
    </w:p>
    <w:p w:rsidR="00E85257" w:rsidRPr="006D4D0F" w:rsidRDefault="00E85257" w:rsidP="00E85257">
      <w:pPr>
        <w:pStyle w:val="FSBullet"/>
        <w:rPr>
          <w:lang w:val="en-AU"/>
        </w:rPr>
      </w:pPr>
      <w:r w:rsidRPr="006D4D0F">
        <w:t xml:space="preserve">Recently released data from the Australian 2011‒12 National Nutrition and Physical Activity Survey, </w:t>
      </w:r>
      <w:r>
        <w:t>also</w:t>
      </w:r>
      <w:r w:rsidRPr="006D4D0F">
        <w:t xml:space="preserve"> suggest </w:t>
      </w:r>
      <w:r w:rsidRPr="006D4D0F">
        <w:rPr>
          <w:lang w:val="en-AU"/>
        </w:rPr>
        <w:t>TFA intake remains low, with the mean intake of all Australians 2 years and above estimated to be 1.4 g/day or 0.6% of dietary energy</w:t>
      </w:r>
      <w:r>
        <w:rPr>
          <w:lang w:val="en-AU"/>
        </w:rPr>
        <w:t xml:space="preserve">. </w:t>
      </w:r>
      <w:r w:rsidRPr="006D4D0F">
        <w:rPr>
          <w:lang w:val="en-AU"/>
        </w:rPr>
        <w:t>Dairy and meat food groups</w:t>
      </w:r>
      <w:r>
        <w:rPr>
          <w:lang w:val="en-AU"/>
        </w:rPr>
        <w:t xml:space="preserve">, together with butters and dairy blends, </w:t>
      </w:r>
      <w:r w:rsidRPr="006D4D0F">
        <w:rPr>
          <w:lang w:val="en-AU"/>
        </w:rPr>
        <w:t xml:space="preserve">contributed </w:t>
      </w:r>
      <w:r>
        <w:rPr>
          <w:lang w:val="en-AU"/>
        </w:rPr>
        <w:t xml:space="preserve">more than </w:t>
      </w:r>
      <w:r w:rsidRPr="006D4D0F">
        <w:rPr>
          <w:lang w:val="en-AU"/>
        </w:rPr>
        <w:t xml:space="preserve">half of this intake, showing ruminant TFAs continue to be </w:t>
      </w:r>
      <w:r>
        <w:rPr>
          <w:lang w:val="en-AU"/>
        </w:rPr>
        <w:t xml:space="preserve">the </w:t>
      </w:r>
      <w:r w:rsidRPr="006D4D0F">
        <w:rPr>
          <w:lang w:val="en-AU"/>
        </w:rPr>
        <w:t xml:space="preserve">major source of TFAs in the Australian diet. </w:t>
      </w:r>
    </w:p>
    <w:p w:rsidR="00E85257" w:rsidRPr="006D4D0F" w:rsidRDefault="00E85257" w:rsidP="00E85257">
      <w:pPr>
        <w:rPr>
          <w:lang w:val="en-AU"/>
        </w:rPr>
      </w:pPr>
    </w:p>
    <w:p w:rsidR="00E85257" w:rsidRPr="006D4D0F" w:rsidRDefault="00E85257" w:rsidP="00E85257">
      <w:pPr>
        <w:pStyle w:val="FSBullet"/>
        <w:rPr>
          <w:lang w:val="en-AU"/>
        </w:rPr>
      </w:pPr>
      <w:r w:rsidRPr="006D4D0F">
        <w:t>Current estimates of the distribution of TFA intakes</w:t>
      </w:r>
      <w:r>
        <w:t xml:space="preserve"> for age/gender groups</w:t>
      </w:r>
      <w:r w:rsidRPr="006D4D0F">
        <w:t xml:space="preserve"> across the </w:t>
      </w:r>
      <w:r w:rsidR="005710DB">
        <w:t>Australian</w:t>
      </w:r>
      <w:r w:rsidRPr="006D4D0F">
        <w:t xml:space="preserve"> and </w:t>
      </w:r>
      <w:r w:rsidR="005710DB">
        <w:t>New Zealan</w:t>
      </w:r>
      <w:r w:rsidR="00ED4B84">
        <w:t>d</w:t>
      </w:r>
      <w:r w:rsidRPr="006D4D0F">
        <w:t xml:space="preserve"> populations are not available. </w:t>
      </w:r>
      <w:r>
        <w:t xml:space="preserve">In 2009, FSANZ estimated </w:t>
      </w:r>
      <w:r w:rsidRPr="006D4D0F">
        <w:t>the 95</w:t>
      </w:r>
      <w:r w:rsidRPr="006D4D0F">
        <w:rPr>
          <w:vertAlign w:val="superscript"/>
        </w:rPr>
        <w:t>th</w:t>
      </w:r>
      <w:r w:rsidRPr="006D4D0F">
        <w:t xml:space="preserve"> percentile for total TFA intake </w:t>
      </w:r>
      <w:r>
        <w:t xml:space="preserve">to be </w:t>
      </w:r>
      <w:r w:rsidRPr="006D4D0F">
        <w:t>1.1% and 1.2 % of dietary energy for the Australian</w:t>
      </w:r>
      <w:r>
        <w:t xml:space="preserve"> (17 years and above)</w:t>
      </w:r>
      <w:r w:rsidRPr="006D4D0F">
        <w:t xml:space="preserve"> and New Zealand</w:t>
      </w:r>
      <w:r>
        <w:t xml:space="preserve"> (15 years and above)</w:t>
      </w:r>
      <w:r w:rsidRPr="006D4D0F">
        <w:t xml:space="preserve"> populations, respectively.</w:t>
      </w:r>
      <w:r>
        <w:t xml:space="preserve"> Given</w:t>
      </w:r>
      <w:r w:rsidRPr="006D4D0F">
        <w:t xml:space="preserve"> the continued low level of TFAs in foods and the recent population mean estimate of TFA intake in Australia of 0.6% of dietary energy, it is unlikely </w:t>
      </w:r>
      <w:r w:rsidRPr="00A33DAB">
        <w:t xml:space="preserve">there </w:t>
      </w:r>
      <w:r w:rsidRPr="00A33DAB">
        <w:lastRenderedPageBreak/>
        <w:t>has been a large increase in TFA intakes among t</w:t>
      </w:r>
      <w:r>
        <w:t>hose with above average intakes</w:t>
      </w:r>
      <w:r w:rsidRPr="006D4D0F">
        <w:t xml:space="preserve">. </w:t>
      </w:r>
    </w:p>
    <w:p w:rsidR="00E85257" w:rsidRPr="006D4D0F" w:rsidRDefault="00E85257" w:rsidP="00E85257">
      <w:pPr>
        <w:rPr>
          <w:lang w:val="en-AU"/>
        </w:rPr>
      </w:pPr>
    </w:p>
    <w:p w:rsidR="00E85257" w:rsidRPr="006D4D0F" w:rsidRDefault="00E85257" w:rsidP="00E85257">
      <w:pPr>
        <w:pStyle w:val="FSBullet"/>
      </w:pPr>
      <w:r w:rsidRPr="006D4D0F">
        <w:t>The 2013 FSANZ industry survey indicates that the survey respondents were generally actively maintaining a low TFA content of their foods. Some respondents were undertaking on-going work to make further reductions in TFAs. It is not possible to extrapolate the findings of the study to the food industry because of the small number of respondents and the convenience sampling approach.</w:t>
      </w:r>
    </w:p>
    <w:p w:rsidR="00E85257" w:rsidRPr="006D4D0F" w:rsidRDefault="00E85257" w:rsidP="00E85257"/>
    <w:p w:rsidR="00E85257" w:rsidRPr="006D4D0F" w:rsidRDefault="00E85257" w:rsidP="00E85257">
      <w:pPr>
        <w:pStyle w:val="FSBullet"/>
        <w:rPr>
          <w:rFonts w:asciiTheme="minorHAnsi" w:hAnsiTheme="minorHAnsi"/>
          <w:sz w:val="24"/>
        </w:rPr>
      </w:pPr>
      <w:r w:rsidRPr="006D4D0F">
        <w:t>The findings from the systematic review, incorporating new evidence published between 2010 and 2014, are consistent with previous research demonstrating a causal relationship between intake of dietary TFAs and detrimental changes in blood cholesterol levels. The review also indicated that any further reduction in TFA intakes in Australia and New Zealand may produce only minor improvements in blood cholesterol levels.</w:t>
      </w:r>
    </w:p>
    <w:p w:rsidR="00E85257" w:rsidRPr="006D4D0F" w:rsidRDefault="00E85257" w:rsidP="00E85257">
      <w:pPr>
        <w:pStyle w:val="ListParagraph"/>
        <w:ind w:left="567"/>
        <w:rPr>
          <w:rFonts w:asciiTheme="minorHAnsi" w:hAnsiTheme="minorHAnsi"/>
          <w:sz w:val="24"/>
        </w:rPr>
      </w:pPr>
    </w:p>
    <w:p w:rsidR="00E85257" w:rsidRPr="006D4D0F" w:rsidRDefault="00E85257" w:rsidP="00E85257">
      <w:pPr>
        <w:pStyle w:val="FSBullet"/>
      </w:pPr>
      <w:r>
        <w:t>In 2009, FSANZ updated its 2007 review and concluded that several cohort studies showed a direct association with TFA intake and risk of cardiovascular disease. It was also found that other TFA and disease relationships were less well established and required further research before they could be accepted or refuted. The 2014 narrative review did not find any new evidence that would change this conclusion</w:t>
      </w:r>
    </w:p>
    <w:p w:rsidR="00291135" w:rsidRPr="00291135" w:rsidRDefault="00291135" w:rsidP="00291135"/>
    <w:p w:rsidR="0027116A" w:rsidRPr="006D4D0F" w:rsidRDefault="0027116A" w:rsidP="0027116A">
      <w:pPr>
        <w:pStyle w:val="FSBullet"/>
        <w:numPr>
          <w:ilvl w:val="0"/>
          <w:numId w:val="0"/>
        </w:numPr>
        <w:ind w:left="567" w:hanging="567"/>
      </w:pPr>
      <w:r w:rsidRPr="006D4D0F">
        <w:t>In conclusion:</w:t>
      </w:r>
    </w:p>
    <w:p w:rsidR="0027116A" w:rsidRPr="006D4D0F" w:rsidRDefault="0027116A" w:rsidP="0027116A"/>
    <w:p w:rsidR="0027116A" w:rsidRPr="006D4D0F" w:rsidRDefault="0027116A" w:rsidP="0027116A">
      <w:pPr>
        <w:pStyle w:val="FSBullet"/>
        <w:numPr>
          <w:ilvl w:val="0"/>
          <w:numId w:val="9"/>
        </w:numPr>
        <w:ind w:left="567" w:hanging="567"/>
      </w:pPr>
      <w:r w:rsidRPr="006D4D0F">
        <w:t xml:space="preserve">The low level of TFAs in the foods sampled in Australia and New Zealand, the small number of people with intakes above the WHO goal of less than 1% TFAs of dietary energy determined in 2009, and the recent estimate of mean dietary intake of total TFAs in Australia together with ruminant TFAs contributing </w:t>
      </w:r>
      <w:r w:rsidR="00AC2138">
        <w:t>more than</w:t>
      </w:r>
      <w:r w:rsidR="00AC2138" w:rsidRPr="006D4D0F">
        <w:t xml:space="preserve"> </w:t>
      </w:r>
      <w:r w:rsidRPr="006D4D0F">
        <w:t xml:space="preserve">half of the total TFA intake, suggest mandatory labelling is not warranted. The Code currently permits the voluntary declaration of TFA content on labels and requires TFA declaration when certain nutrition content and health claims are made. </w:t>
      </w:r>
    </w:p>
    <w:p w:rsidR="0027116A" w:rsidRPr="006D4D0F" w:rsidRDefault="0027116A" w:rsidP="0027116A">
      <w:pPr>
        <w:pStyle w:val="ListParagraph"/>
      </w:pPr>
    </w:p>
    <w:p w:rsidR="0027116A" w:rsidRPr="006D4D0F" w:rsidRDefault="0027116A" w:rsidP="0027116A">
      <w:pPr>
        <w:pStyle w:val="FSBullet"/>
      </w:pPr>
      <w:r w:rsidRPr="006D4D0F">
        <w:t>Should there be further consideration of mandating TFA declarations on food labels, the costs and benefits of a threshold labelling approach and other approaches would need to be evaluated, including any potential impacts on consumer purchase behaviour, blood cholesterol levels, product formulations and industry costs.</w:t>
      </w:r>
    </w:p>
    <w:p w:rsidR="00AF7743" w:rsidRDefault="00186EC0" w:rsidP="008C2BBA">
      <w:pPr>
        <w:pStyle w:val="Heading1"/>
        <w:ind w:left="0" w:firstLine="0"/>
      </w:pPr>
      <w:bookmarkStart w:id="43" w:name="_Toc409699760"/>
      <w:r>
        <w:t>5</w:t>
      </w:r>
      <w:r w:rsidR="00F27DFD">
        <w:tab/>
      </w:r>
      <w:r w:rsidR="001122EC">
        <w:t>R</w:t>
      </w:r>
      <w:r w:rsidR="000B427A">
        <w:t>eferences</w:t>
      </w:r>
      <w:bookmarkEnd w:id="37"/>
      <w:bookmarkEnd w:id="38"/>
      <w:bookmarkEnd w:id="39"/>
      <w:bookmarkEnd w:id="40"/>
      <w:bookmarkEnd w:id="41"/>
      <w:bookmarkEnd w:id="42"/>
      <w:bookmarkEnd w:id="43"/>
    </w:p>
    <w:p w:rsidR="00C24C9D" w:rsidRDefault="00C24C9D" w:rsidP="00F27DFD">
      <w:pPr>
        <w:rPr>
          <w:lang w:bidi="ar-SA"/>
        </w:rPr>
      </w:pPr>
      <w:proofErr w:type="spellStart"/>
      <w:r>
        <w:rPr>
          <w:lang w:bidi="ar-SA"/>
        </w:rPr>
        <w:t>Arcandi</w:t>
      </w:r>
      <w:proofErr w:type="spellEnd"/>
      <w:r>
        <w:rPr>
          <w:lang w:bidi="ar-SA"/>
        </w:rPr>
        <w:t xml:space="preserve"> </w:t>
      </w:r>
      <w:r w:rsidR="00BA4DCC">
        <w:rPr>
          <w:lang w:bidi="ar-SA"/>
        </w:rPr>
        <w:t xml:space="preserve">J, </w:t>
      </w:r>
      <w:proofErr w:type="spellStart"/>
      <w:r w:rsidR="00BA4DCC">
        <w:rPr>
          <w:lang w:bidi="ar-SA"/>
        </w:rPr>
        <w:t>Scourboutakos</w:t>
      </w:r>
      <w:proofErr w:type="spellEnd"/>
      <w:r w:rsidR="00BA4DCC">
        <w:rPr>
          <w:lang w:bidi="ar-SA"/>
        </w:rPr>
        <w:t xml:space="preserve"> M, Au J, </w:t>
      </w:r>
      <w:proofErr w:type="spellStart"/>
      <w:r w:rsidR="00BA4DCC">
        <w:rPr>
          <w:lang w:bidi="ar-SA"/>
        </w:rPr>
        <w:t>L’Abbe</w:t>
      </w:r>
      <w:proofErr w:type="spellEnd"/>
      <w:r w:rsidR="00BA4DCC">
        <w:rPr>
          <w:lang w:bidi="ar-SA"/>
        </w:rPr>
        <w:t xml:space="preserve"> M (2014) Trends in trans fatty acid levels in the Canadia</w:t>
      </w:r>
      <w:r w:rsidR="0069426F">
        <w:rPr>
          <w:lang w:bidi="ar-SA"/>
        </w:rPr>
        <w:t>n food supply. The FASEB J</w:t>
      </w:r>
      <w:r w:rsidR="00BA4DCC">
        <w:rPr>
          <w:lang w:bidi="ar-SA"/>
        </w:rPr>
        <w:t xml:space="preserve"> 28: 1 Supplement 632.12</w:t>
      </w:r>
      <w:r w:rsidR="0069426F">
        <w:rPr>
          <w:lang w:bidi="ar-SA"/>
        </w:rPr>
        <w:t>.</w:t>
      </w:r>
      <w:r w:rsidR="00BA4DCC">
        <w:rPr>
          <w:lang w:bidi="ar-SA"/>
        </w:rPr>
        <w:t xml:space="preserve"> </w:t>
      </w:r>
      <w:hyperlink r:id="rId13" w:history="1">
        <w:r w:rsidR="00BA4DCC" w:rsidRPr="006C2077">
          <w:rPr>
            <w:rStyle w:val="Hyperlink"/>
            <w:lang w:bidi="ar-SA"/>
          </w:rPr>
          <w:t>http://www.fasebj.org/content/28/1_Supplement/632.12</w:t>
        </w:r>
      </w:hyperlink>
      <w:r w:rsidR="00BA4DCC">
        <w:rPr>
          <w:lang w:bidi="ar-SA"/>
        </w:rPr>
        <w:t xml:space="preserve"> Accessed 19 May 2014</w:t>
      </w:r>
    </w:p>
    <w:p w:rsidR="00C24C9D" w:rsidRDefault="00C24C9D" w:rsidP="00F27DFD">
      <w:pPr>
        <w:rPr>
          <w:lang w:bidi="ar-SA"/>
        </w:rPr>
      </w:pPr>
    </w:p>
    <w:p w:rsidR="0001605A" w:rsidRDefault="0001605A" w:rsidP="00F27DFD">
      <w:pPr>
        <w:rPr>
          <w:lang w:bidi="ar-SA"/>
        </w:rPr>
      </w:pPr>
      <w:r>
        <w:rPr>
          <w:lang w:bidi="ar-SA"/>
        </w:rPr>
        <w:t xml:space="preserve">Australian Bureau of Statistics (2014) </w:t>
      </w:r>
      <w:r>
        <w:t xml:space="preserve">Australian Health Survey: Nutrition First Results - Foods and Nutrients, 2011-12. </w:t>
      </w:r>
      <w:hyperlink r:id="rId14" w:history="1">
        <w:r w:rsidRPr="005C3CA8">
          <w:rPr>
            <w:rStyle w:val="Hyperlink"/>
          </w:rPr>
          <w:t>http://www.abs.gov.au/ausstats/abs@.nsf/mf/4364.0.55.007</w:t>
        </w:r>
      </w:hyperlink>
      <w:r>
        <w:t xml:space="preserve"> Accessed 9 May 2014</w:t>
      </w:r>
    </w:p>
    <w:p w:rsidR="00AC3F12" w:rsidRDefault="00AC3F12">
      <w:pPr>
        <w:widowControl/>
        <w:rPr>
          <w:lang w:bidi="ar-SA"/>
        </w:rPr>
      </w:pPr>
    </w:p>
    <w:p w:rsidR="007D2CD3" w:rsidRDefault="007D2CD3" w:rsidP="00F27DFD">
      <w:pPr>
        <w:rPr>
          <w:lang w:bidi="ar-SA"/>
        </w:rPr>
      </w:pPr>
      <w:r>
        <w:rPr>
          <w:lang w:bidi="ar-SA"/>
        </w:rPr>
        <w:t>Bates B, Lennox A, Prentice A, Bates C, Page P, Nicholson S, Swan G (</w:t>
      </w:r>
      <w:proofErr w:type="spellStart"/>
      <w:r>
        <w:rPr>
          <w:lang w:bidi="ar-SA"/>
        </w:rPr>
        <w:t>eds</w:t>
      </w:r>
      <w:proofErr w:type="spellEnd"/>
      <w:r>
        <w:rPr>
          <w:lang w:bidi="ar-SA"/>
        </w:rPr>
        <w:t xml:space="preserve">). (2014) National Diet and Nutrition Survey. Results from Years 1, 2, 3 and 4 (combined) of the Rolling Programme (2008/2009 – 2011/2012). A survey carried out on behalf of Public Health England and the Food Standards Agency. </w:t>
      </w:r>
      <w:hyperlink r:id="rId15" w:history="1">
        <w:r w:rsidR="000F7575" w:rsidRPr="00C20ECD">
          <w:rPr>
            <w:rStyle w:val="Hyperlink"/>
            <w:lang w:bidi="ar-SA"/>
          </w:rPr>
          <w:t>https://www.gov.uk/government/publications/national-diet-and-nutrition-survey-results-from-years-1-to-4-combined-of-the-rolling-programme-for-2008-and-2009-to-2011-and-2012</w:t>
        </w:r>
      </w:hyperlink>
      <w:r>
        <w:rPr>
          <w:lang w:bidi="ar-SA"/>
        </w:rPr>
        <w:t xml:space="preserve"> </w:t>
      </w:r>
      <w:r w:rsidRPr="007D2CD3">
        <w:rPr>
          <w:lang w:bidi="ar-SA"/>
        </w:rPr>
        <w:t xml:space="preserve">   Accessed 15 May 2014</w:t>
      </w:r>
    </w:p>
    <w:p w:rsidR="007D2CD3" w:rsidRDefault="007D2CD3" w:rsidP="00F27DFD">
      <w:pPr>
        <w:rPr>
          <w:lang w:bidi="ar-SA"/>
        </w:rPr>
      </w:pPr>
    </w:p>
    <w:p w:rsidR="00F47EB1" w:rsidRDefault="002B7B15" w:rsidP="00F27DFD">
      <w:pPr>
        <w:rPr>
          <w:lang w:bidi="ar-SA"/>
        </w:rPr>
      </w:pPr>
      <w:r>
        <w:rPr>
          <w:lang w:bidi="ar-SA"/>
        </w:rPr>
        <w:t>B</w:t>
      </w:r>
      <w:r w:rsidR="00F47EB1">
        <w:rPr>
          <w:lang w:bidi="ar-SA"/>
        </w:rPr>
        <w:t xml:space="preserve">lewett N, Goddard N, Pettigrew S, Reynolds C, Yeatman H (2011) Labelling logic: Review of food labelling law and policy (2011). Department of Health and Ageing, Canberra, Australia. </w:t>
      </w:r>
      <w:hyperlink r:id="rId16" w:history="1">
        <w:r w:rsidR="007D2CD3" w:rsidRPr="00BA7AF2">
          <w:rPr>
            <w:rStyle w:val="Hyperlink"/>
            <w:lang w:bidi="ar-SA"/>
          </w:rPr>
          <w:t>http://www.foodlabellingreview.gov.au/internet/foodlabelling/publishing.nsf/content/48C0548D80E715BCCA257825001E5DC0/$File/Labelling%20Logic_2011.pdf</w:t>
        </w:r>
      </w:hyperlink>
      <w:r w:rsidR="00F47EB1">
        <w:rPr>
          <w:lang w:bidi="ar-SA"/>
        </w:rPr>
        <w:t xml:space="preserve"> Accessed 5 August 2013</w:t>
      </w:r>
    </w:p>
    <w:p w:rsidR="00F47EB1" w:rsidRDefault="00F47EB1" w:rsidP="00F27DFD">
      <w:pPr>
        <w:rPr>
          <w:lang w:bidi="ar-SA"/>
        </w:rPr>
      </w:pPr>
    </w:p>
    <w:p w:rsidR="006B78C9" w:rsidRPr="006B78C9" w:rsidRDefault="00103053" w:rsidP="006B78C9">
      <w:pPr>
        <w:rPr>
          <w:lang w:eastAsia="en-AU"/>
        </w:rPr>
      </w:pPr>
      <w:r w:rsidRPr="000E3731">
        <w:rPr>
          <w:lang w:eastAsia="en-AU"/>
        </w:rPr>
        <w:t>Danish Veterinary and Food Administration</w:t>
      </w:r>
      <w:r w:rsidR="00F56644">
        <w:rPr>
          <w:lang w:eastAsia="en-AU"/>
        </w:rPr>
        <w:t xml:space="preserve"> (2003)</w:t>
      </w:r>
      <w:r w:rsidRPr="000E3731">
        <w:rPr>
          <w:lang w:eastAsia="en-AU"/>
        </w:rPr>
        <w:t xml:space="preserve"> </w:t>
      </w:r>
      <w:r>
        <w:rPr>
          <w:lang w:eastAsia="en-AU"/>
        </w:rPr>
        <w:t>Courtesy translation Order on the content of trans fatty acids in oils and fats etc.</w:t>
      </w:r>
      <w:r w:rsidRPr="00BC222D">
        <w:t xml:space="preserve"> </w:t>
      </w:r>
      <w:r w:rsidRPr="00BC222D">
        <w:rPr>
          <w:lang w:eastAsia="en-AU"/>
        </w:rPr>
        <w:t>Order No. 160 of 11 March 2003</w:t>
      </w:r>
      <w:r w:rsidR="00F56644">
        <w:rPr>
          <w:lang w:eastAsia="en-AU"/>
        </w:rPr>
        <w:t xml:space="preserve">. </w:t>
      </w:r>
      <w:hyperlink r:id="rId17" w:anchor="2" w:history="1">
        <w:r w:rsidR="00F56644" w:rsidRPr="00727FB9">
          <w:rPr>
            <w:rStyle w:val="Hyperlink"/>
            <w:lang w:eastAsia="en-AU"/>
          </w:rPr>
          <w:t>http://www.foedevarestyrelsen.dk/english/Food/Trans%20fatty%20acids/Pages/default.aspx#2</w:t>
        </w:r>
      </w:hyperlink>
      <w:r w:rsidR="00F56644">
        <w:rPr>
          <w:lang w:eastAsia="en-AU"/>
        </w:rPr>
        <w:t xml:space="preserve"> Accessed 19 May 2014</w:t>
      </w:r>
      <w:hyperlink r:id="rId18" w:history="1"/>
      <w:r w:rsidR="006B78C9">
        <w:rPr>
          <w:rStyle w:val="HTMLCite"/>
          <w:rFonts w:cs="Arial"/>
          <w:color w:val="222222"/>
          <w:lang w:val="en-AU"/>
        </w:rPr>
        <w:t xml:space="preserve"> </w:t>
      </w:r>
    </w:p>
    <w:p w:rsidR="00103053" w:rsidRDefault="00103053" w:rsidP="00F27DFD">
      <w:pPr>
        <w:rPr>
          <w:lang w:bidi="ar-SA"/>
        </w:rPr>
      </w:pPr>
    </w:p>
    <w:p w:rsidR="0007575A" w:rsidRDefault="0007575A" w:rsidP="00F27DFD">
      <w:pPr>
        <w:rPr>
          <w:lang w:bidi="ar-SA"/>
        </w:rPr>
      </w:pPr>
      <w:r>
        <w:rPr>
          <w:lang w:bidi="ar-SA"/>
        </w:rPr>
        <w:t>Department of Health (1991) Food for Health. Report</w:t>
      </w:r>
      <w:r w:rsidR="00C55F72">
        <w:rPr>
          <w:lang w:bidi="ar-SA"/>
        </w:rPr>
        <w:t xml:space="preserve"> of Nutrition Taskforce. Wellington: Department of Health.</w:t>
      </w:r>
    </w:p>
    <w:p w:rsidR="00C55F72" w:rsidRDefault="00C55F72" w:rsidP="00F27DFD">
      <w:pPr>
        <w:rPr>
          <w:lang w:bidi="ar-SA"/>
        </w:rPr>
      </w:pPr>
    </w:p>
    <w:p w:rsidR="00BA2EDC" w:rsidRDefault="00BA2EDC" w:rsidP="00BA2EDC">
      <w:pPr>
        <w:rPr>
          <w:lang w:bidi="ar-SA"/>
        </w:rPr>
      </w:pPr>
      <w:r>
        <w:rPr>
          <w:lang w:bidi="ar-SA"/>
        </w:rPr>
        <w:t>Department of Health (1994) Nutritional aspects of cardiovascular disease. Report on</w:t>
      </w:r>
    </w:p>
    <w:p w:rsidR="00BA2EDC" w:rsidRDefault="00BA2EDC" w:rsidP="00BA2EDC">
      <w:pPr>
        <w:rPr>
          <w:lang w:bidi="ar-SA"/>
        </w:rPr>
      </w:pPr>
      <w:r>
        <w:rPr>
          <w:lang w:bidi="ar-SA"/>
        </w:rPr>
        <w:t xml:space="preserve">Health and Social subjects 46. London: The Stationary Office. </w:t>
      </w:r>
    </w:p>
    <w:p w:rsidR="00BA2EDC" w:rsidRDefault="00BA2EDC" w:rsidP="00BA2EDC">
      <w:pPr>
        <w:rPr>
          <w:lang w:bidi="ar-SA"/>
        </w:rPr>
      </w:pPr>
    </w:p>
    <w:p w:rsidR="005B276E" w:rsidRDefault="005B276E" w:rsidP="00BA2EDC">
      <w:pPr>
        <w:rPr>
          <w:lang w:bidi="ar-SA"/>
        </w:rPr>
      </w:pPr>
      <w:r>
        <w:rPr>
          <w:lang w:bidi="ar-SA"/>
        </w:rPr>
        <w:t xml:space="preserve">Downs SM, </w:t>
      </w:r>
      <w:proofErr w:type="spellStart"/>
      <w:r>
        <w:rPr>
          <w:lang w:bidi="ar-SA"/>
        </w:rPr>
        <w:t>Thow</w:t>
      </w:r>
      <w:proofErr w:type="spellEnd"/>
      <w:r>
        <w:rPr>
          <w:lang w:bidi="ar-SA"/>
        </w:rPr>
        <w:t xml:space="preserve"> AM, </w:t>
      </w:r>
      <w:proofErr w:type="spellStart"/>
      <w:r>
        <w:rPr>
          <w:lang w:bidi="ar-SA"/>
        </w:rPr>
        <w:t>Leeder</w:t>
      </w:r>
      <w:proofErr w:type="spellEnd"/>
      <w:r>
        <w:rPr>
          <w:lang w:bidi="ar-SA"/>
        </w:rPr>
        <w:t xml:space="preserve"> SR (2013) The effectiveness of policies for reducing dietary trans fat: a systematic review. Bull World Health Organ 91:262-269H doi:10.2471/BLT.12.111468</w:t>
      </w:r>
    </w:p>
    <w:p w:rsidR="005B276E" w:rsidRDefault="005B276E" w:rsidP="00F27DFD">
      <w:pPr>
        <w:rPr>
          <w:lang w:bidi="ar-SA"/>
        </w:rPr>
      </w:pPr>
    </w:p>
    <w:p w:rsidR="001E40C2" w:rsidRDefault="001E40C2" w:rsidP="00F27DFD">
      <w:pPr>
        <w:rPr>
          <w:lang w:bidi="ar-SA"/>
        </w:rPr>
      </w:pPr>
      <w:r>
        <w:rPr>
          <w:lang w:bidi="ar-SA"/>
        </w:rPr>
        <w:t>FSANZ (2007)</w:t>
      </w:r>
      <w:r w:rsidR="00BA4DCC">
        <w:rPr>
          <w:lang w:bidi="ar-SA"/>
        </w:rPr>
        <w:t xml:space="preserve"> Review Report. </w:t>
      </w:r>
      <w:r w:rsidR="00BA4DCC" w:rsidRPr="00BA4DCC">
        <w:rPr>
          <w:i/>
          <w:lang w:bidi="ar-SA"/>
        </w:rPr>
        <w:t>Trans</w:t>
      </w:r>
      <w:r w:rsidR="00BA4DCC">
        <w:rPr>
          <w:lang w:bidi="ar-SA"/>
        </w:rPr>
        <w:t xml:space="preserve"> fatty acids in the New Zealand and Australian Food Supply. Food Standards Australia New Zealand, Canberra. </w:t>
      </w:r>
      <w:hyperlink r:id="rId19" w:history="1">
        <w:r w:rsidR="00BA4DCC" w:rsidRPr="006C2077">
          <w:rPr>
            <w:rStyle w:val="Hyperlink"/>
            <w:lang w:bidi="ar-SA"/>
          </w:rPr>
          <w:t>http://www.foodstandards.gov.au/publications/Pages/transfattyacidsrepor4561.aspx</w:t>
        </w:r>
      </w:hyperlink>
      <w:r w:rsidR="00BA4DCC">
        <w:rPr>
          <w:lang w:bidi="ar-SA"/>
        </w:rPr>
        <w:t xml:space="preserve"> Accessed 19 May 2014</w:t>
      </w:r>
    </w:p>
    <w:p w:rsidR="001E40C2" w:rsidRDefault="001E40C2" w:rsidP="00F27DFD">
      <w:pPr>
        <w:rPr>
          <w:lang w:bidi="ar-SA"/>
        </w:rPr>
      </w:pPr>
    </w:p>
    <w:p w:rsidR="001E40C2" w:rsidRDefault="001E40C2" w:rsidP="00F27DFD">
      <w:pPr>
        <w:rPr>
          <w:lang w:bidi="ar-SA"/>
        </w:rPr>
      </w:pPr>
      <w:r>
        <w:rPr>
          <w:lang w:bidi="ar-SA"/>
        </w:rPr>
        <w:t>FSANZ (2009)</w:t>
      </w:r>
      <w:r w:rsidR="00BA4DCC">
        <w:rPr>
          <w:lang w:bidi="ar-SA"/>
        </w:rPr>
        <w:t xml:space="preserve"> Review Report. </w:t>
      </w:r>
      <w:r w:rsidR="00BA4DCC" w:rsidRPr="00BA4DCC">
        <w:rPr>
          <w:i/>
          <w:lang w:bidi="ar-SA"/>
        </w:rPr>
        <w:t>Trans</w:t>
      </w:r>
      <w:r w:rsidR="00BA4DCC">
        <w:rPr>
          <w:lang w:bidi="ar-SA"/>
        </w:rPr>
        <w:t xml:space="preserve"> fatty acids in the New Zealand and Australian Food Supply. July 2009. Food Standards Australia New Zealand, Canberra.</w:t>
      </w:r>
      <w:r w:rsidR="00BA4DCC" w:rsidRPr="00BA4DCC">
        <w:t xml:space="preserve"> </w:t>
      </w:r>
      <w:hyperlink r:id="rId20" w:history="1">
        <w:r w:rsidR="00BA4DCC" w:rsidRPr="006C2077">
          <w:rPr>
            <w:rStyle w:val="Hyperlink"/>
            <w:lang w:bidi="ar-SA"/>
          </w:rPr>
          <w:t>http://www.foodstandards.gov.au/publications/Pages/transfattyacidsrepor4560.aspx</w:t>
        </w:r>
      </w:hyperlink>
      <w:r w:rsidR="00BA4DCC">
        <w:rPr>
          <w:lang w:bidi="ar-SA"/>
        </w:rPr>
        <w:t xml:space="preserve"> Accessed 19 May 2014</w:t>
      </w:r>
    </w:p>
    <w:p w:rsidR="001E40C2" w:rsidRDefault="001E40C2" w:rsidP="00F27DFD">
      <w:pPr>
        <w:rPr>
          <w:lang w:bidi="ar-SA"/>
        </w:rPr>
      </w:pPr>
    </w:p>
    <w:p w:rsidR="000049E9" w:rsidRDefault="000049E9" w:rsidP="00F27DFD">
      <w:pPr>
        <w:rPr>
          <w:rStyle w:val="Hyperlink"/>
          <w:lang w:bidi="ar-SA"/>
        </w:rPr>
      </w:pPr>
      <w:r>
        <w:rPr>
          <w:lang w:bidi="ar-SA"/>
        </w:rPr>
        <w:t xml:space="preserve">FSANZ (2012) Nutrition Information. User guide to Standard 1.2.8 – Nutrition Information Requirements. Part B Nutrition Claims. </w:t>
      </w:r>
      <w:hyperlink r:id="rId21" w:history="1">
        <w:r w:rsidR="0069426F" w:rsidRPr="00727FB9">
          <w:rPr>
            <w:rStyle w:val="Hyperlink"/>
            <w:lang w:bidi="ar-SA"/>
          </w:rPr>
          <w:t>http://www.foodstandards.gov.au/code/userguide/pages/nutritioninformation1406.aspx</w:t>
        </w:r>
      </w:hyperlink>
      <w:r w:rsidR="0069426F">
        <w:rPr>
          <w:lang w:bidi="ar-SA"/>
        </w:rPr>
        <w:t xml:space="preserve"> Accessed 19 May 2014</w:t>
      </w:r>
    </w:p>
    <w:p w:rsidR="00C00C20" w:rsidRDefault="00C00C20" w:rsidP="00A44114">
      <w:pPr>
        <w:rPr>
          <w:rStyle w:val="Hyperlink"/>
          <w:lang w:bidi="ar-SA"/>
        </w:rPr>
      </w:pPr>
    </w:p>
    <w:p w:rsidR="00B5579B" w:rsidRDefault="00B5579B" w:rsidP="00D463FB">
      <w:pPr>
        <w:rPr>
          <w:lang w:bidi="ar-SA"/>
        </w:rPr>
      </w:pPr>
      <w:proofErr w:type="spellStart"/>
      <w:r w:rsidRPr="00D463FB">
        <w:rPr>
          <w:lang w:bidi="ar-SA"/>
        </w:rPr>
        <w:t>L’Abbe</w:t>
      </w:r>
      <w:proofErr w:type="spellEnd"/>
      <w:r w:rsidRPr="00D463FB">
        <w:rPr>
          <w:lang w:bidi="ar-SA"/>
        </w:rPr>
        <w:t xml:space="preserve">  MR, </w:t>
      </w:r>
      <w:proofErr w:type="spellStart"/>
      <w:r w:rsidRPr="00D463FB">
        <w:rPr>
          <w:lang w:bidi="ar-SA"/>
        </w:rPr>
        <w:t>Stender</w:t>
      </w:r>
      <w:proofErr w:type="spellEnd"/>
      <w:r w:rsidRPr="00D463FB">
        <w:rPr>
          <w:lang w:bidi="ar-SA"/>
        </w:rPr>
        <w:t xml:space="preserve"> S, </w:t>
      </w:r>
      <w:proofErr w:type="spellStart"/>
      <w:r w:rsidRPr="00D463FB">
        <w:rPr>
          <w:lang w:bidi="ar-SA"/>
        </w:rPr>
        <w:t>Skeaff</w:t>
      </w:r>
      <w:proofErr w:type="spellEnd"/>
      <w:r w:rsidRPr="00D463FB">
        <w:rPr>
          <w:lang w:bidi="ar-SA"/>
        </w:rPr>
        <w:t xml:space="preserve"> M, </w:t>
      </w:r>
      <w:proofErr w:type="spellStart"/>
      <w:r w:rsidRPr="00D463FB">
        <w:rPr>
          <w:lang w:bidi="ar-SA"/>
        </w:rPr>
        <w:t>Ghafoorunissa</w:t>
      </w:r>
      <w:proofErr w:type="spellEnd"/>
      <w:r w:rsidRPr="00D463FB">
        <w:rPr>
          <w:lang w:bidi="ar-SA"/>
        </w:rPr>
        <w:t xml:space="preserve"> R, </w:t>
      </w:r>
      <w:proofErr w:type="spellStart"/>
      <w:r w:rsidRPr="00D463FB">
        <w:rPr>
          <w:lang w:bidi="ar-SA"/>
        </w:rPr>
        <w:t>Tavella</w:t>
      </w:r>
      <w:proofErr w:type="spellEnd"/>
      <w:r w:rsidR="00D463FB">
        <w:rPr>
          <w:lang w:bidi="ar-SA"/>
        </w:rPr>
        <w:t xml:space="preserve"> M</w:t>
      </w:r>
      <w:r w:rsidRPr="00D463FB">
        <w:rPr>
          <w:lang w:bidi="ar-SA"/>
        </w:rPr>
        <w:t xml:space="preserve"> (2009)</w:t>
      </w:r>
      <w:r w:rsidR="00D463FB">
        <w:rPr>
          <w:lang w:bidi="ar-SA"/>
        </w:rPr>
        <w:t xml:space="preserve"> Approaches to removing </w:t>
      </w:r>
      <w:r w:rsidR="00D463FB" w:rsidRPr="00D463FB">
        <w:rPr>
          <w:i/>
          <w:lang w:bidi="ar-SA"/>
        </w:rPr>
        <w:t>trans</w:t>
      </w:r>
      <w:r w:rsidR="00D463FB">
        <w:rPr>
          <w:lang w:bidi="ar-SA"/>
        </w:rPr>
        <w:t xml:space="preserve"> fats from the food supply in industrialized and developing countries. </w:t>
      </w:r>
      <w:proofErr w:type="spellStart"/>
      <w:r w:rsidR="00D463FB">
        <w:rPr>
          <w:lang w:bidi="ar-SA"/>
        </w:rPr>
        <w:t>Eur</w:t>
      </w:r>
      <w:proofErr w:type="spellEnd"/>
      <w:r w:rsidR="00D463FB">
        <w:rPr>
          <w:lang w:bidi="ar-SA"/>
        </w:rPr>
        <w:t xml:space="preserve"> J </w:t>
      </w:r>
      <w:proofErr w:type="spellStart"/>
      <w:r w:rsidR="00D463FB">
        <w:rPr>
          <w:lang w:bidi="ar-SA"/>
        </w:rPr>
        <w:t>Clin</w:t>
      </w:r>
      <w:proofErr w:type="spellEnd"/>
      <w:r w:rsidR="00D463FB">
        <w:rPr>
          <w:lang w:bidi="ar-SA"/>
        </w:rPr>
        <w:t xml:space="preserve"> </w:t>
      </w:r>
      <w:proofErr w:type="spellStart"/>
      <w:r w:rsidR="00D463FB">
        <w:rPr>
          <w:lang w:bidi="ar-SA"/>
        </w:rPr>
        <w:t>Nutr</w:t>
      </w:r>
      <w:proofErr w:type="spellEnd"/>
      <w:r w:rsidR="00D463FB">
        <w:rPr>
          <w:lang w:bidi="ar-SA"/>
        </w:rPr>
        <w:t xml:space="preserve"> 63:S50-</w:t>
      </w:r>
      <w:r w:rsidR="00FF432D">
        <w:rPr>
          <w:lang w:bidi="ar-SA"/>
        </w:rPr>
        <w:t>S</w:t>
      </w:r>
      <w:r w:rsidR="00D463FB">
        <w:rPr>
          <w:lang w:bidi="ar-SA"/>
        </w:rPr>
        <w:t>67</w:t>
      </w:r>
    </w:p>
    <w:p w:rsidR="00AC3F12" w:rsidRDefault="00AC3F12">
      <w:pPr>
        <w:widowControl/>
        <w:rPr>
          <w:lang w:bidi="ar-SA"/>
        </w:rPr>
      </w:pPr>
    </w:p>
    <w:p w:rsidR="00D9324E" w:rsidRDefault="00C00C20" w:rsidP="00A44114">
      <w:pPr>
        <w:rPr>
          <w:lang w:bidi="ar-SA"/>
        </w:rPr>
      </w:pPr>
      <w:r>
        <w:rPr>
          <w:lang w:bidi="ar-SA"/>
        </w:rPr>
        <w:t xml:space="preserve">Ministry of Health (2003) Food and Nutrition Guidelines for Healthy Adults: A background Paper. Wellington. Ministry of Health. </w:t>
      </w:r>
      <w:hyperlink r:id="rId22" w:history="1">
        <w:r w:rsidR="0069426F" w:rsidRPr="00727FB9">
          <w:rPr>
            <w:rStyle w:val="Hyperlink"/>
            <w:lang w:bidi="ar-SA"/>
          </w:rPr>
          <w:t>http://www.health.govt.nz/system/files/documents/publications/foodandnutritionguidelines-adults.pdf</w:t>
        </w:r>
      </w:hyperlink>
      <w:r w:rsidR="0069426F">
        <w:rPr>
          <w:lang w:bidi="ar-SA"/>
        </w:rPr>
        <w:t xml:space="preserve"> Accessed 8 May 2014</w:t>
      </w:r>
    </w:p>
    <w:p w:rsidR="00AC3F12" w:rsidRDefault="00AC3F12" w:rsidP="00D9324E">
      <w:pPr>
        <w:rPr>
          <w:rFonts w:cs="Arial"/>
        </w:rPr>
      </w:pPr>
    </w:p>
    <w:p w:rsidR="00D9324E" w:rsidRDefault="00D9324E" w:rsidP="00D9324E">
      <w:pPr>
        <w:rPr>
          <w:rStyle w:val="Hyperlink"/>
          <w:rFonts w:cs="Arial"/>
          <w:bCs/>
        </w:rPr>
      </w:pPr>
      <w:r>
        <w:rPr>
          <w:rFonts w:cs="Arial"/>
        </w:rPr>
        <w:lastRenderedPageBreak/>
        <w:t>National Health &amp; Medical Research C</w:t>
      </w:r>
      <w:r w:rsidRPr="00ED213D">
        <w:rPr>
          <w:rFonts w:cs="Arial"/>
        </w:rPr>
        <w:t xml:space="preserve">ouncil and </w:t>
      </w:r>
      <w:r>
        <w:rPr>
          <w:rFonts w:cs="Arial"/>
        </w:rPr>
        <w:t>M</w:t>
      </w:r>
      <w:r w:rsidRPr="00ED213D">
        <w:rPr>
          <w:rFonts w:cs="Arial"/>
        </w:rPr>
        <w:t xml:space="preserve">inistry of </w:t>
      </w:r>
      <w:r>
        <w:rPr>
          <w:rFonts w:cs="Arial"/>
        </w:rPr>
        <w:t>H</w:t>
      </w:r>
      <w:r w:rsidR="0069426F">
        <w:rPr>
          <w:rFonts w:cs="Arial"/>
        </w:rPr>
        <w:t>ealth</w:t>
      </w:r>
      <w:r w:rsidRPr="00ED213D">
        <w:rPr>
          <w:rFonts w:cs="Arial"/>
        </w:rPr>
        <w:t xml:space="preserve"> (2006) </w:t>
      </w:r>
      <w:r>
        <w:rPr>
          <w:rFonts w:cs="Arial"/>
        </w:rPr>
        <w:t>N</w:t>
      </w:r>
      <w:r w:rsidRPr="00ED213D">
        <w:rPr>
          <w:rFonts w:cs="Arial"/>
          <w:bCs/>
        </w:rPr>
        <w:t>utrient reference values for</w:t>
      </w:r>
      <w:r>
        <w:rPr>
          <w:rFonts w:cs="Arial"/>
          <w:bCs/>
        </w:rPr>
        <w:t xml:space="preserve"> Australia and N</w:t>
      </w:r>
      <w:r w:rsidRPr="00ED213D">
        <w:rPr>
          <w:rFonts w:cs="Arial"/>
          <w:bCs/>
        </w:rPr>
        <w:t xml:space="preserve">ew </w:t>
      </w:r>
      <w:r>
        <w:rPr>
          <w:rFonts w:cs="Arial"/>
          <w:bCs/>
        </w:rPr>
        <w:t>Z</w:t>
      </w:r>
      <w:r w:rsidRPr="00ED213D">
        <w:rPr>
          <w:rFonts w:cs="Arial"/>
          <w:bCs/>
        </w:rPr>
        <w:t>ealand</w:t>
      </w:r>
      <w:r>
        <w:rPr>
          <w:rFonts w:cs="Arial"/>
          <w:bCs/>
        </w:rPr>
        <w:t xml:space="preserve">. Canberra: Commonwealth of Australia. Available from </w:t>
      </w:r>
      <w:hyperlink r:id="rId23" w:history="1">
        <w:r w:rsidRPr="00AE71AA">
          <w:rPr>
            <w:rStyle w:val="Hyperlink"/>
            <w:rFonts w:cs="Arial"/>
            <w:bCs/>
          </w:rPr>
          <w:t>http://www.nhmrc.gov.au/guidelines/publications/n35-n36-n37</w:t>
        </w:r>
      </w:hyperlink>
      <w:r w:rsidR="0069426F">
        <w:rPr>
          <w:rStyle w:val="Hyperlink"/>
          <w:rFonts w:cs="Arial"/>
          <w:bCs/>
        </w:rPr>
        <w:t xml:space="preserve"> </w:t>
      </w:r>
      <w:r w:rsidR="0069426F">
        <w:rPr>
          <w:lang w:bidi="ar-SA"/>
        </w:rPr>
        <w:t>Accessed 8 May 2014</w:t>
      </w:r>
    </w:p>
    <w:p w:rsidR="00D9324E" w:rsidRDefault="00D9324E" w:rsidP="00D9324E">
      <w:pPr>
        <w:rPr>
          <w:lang w:bidi="ar-SA"/>
        </w:rPr>
      </w:pPr>
    </w:p>
    <w:p w:rsidR="00B40109" w:rsidRDefault="00D9324E" w:rsidP="00D9324E">
      <w:pPr>
        <w:rPr>
          <w:lang w:bidi="ar-SA"/>
        </w:rPr>
      </w:pPr>
      <w:r>
        <w:rPr>
          <w:lang w:bidi="ar-SA"/>
        </w:rPr>
        <w:t xml:space="preserve">National Health and Medical Research Council (2013) Australian Dietary Guidelines. Canberra: National Health and Medical Research Council. </w:t>
      </w:r>
      <w:hyperlink r:id="rId24" w:history="1">
        <w:r w:rsidR="00AC3F12" w:rsidRPr="00797B83">
          <w:rPr>
            <w:rStyle w:val="Hyperlink"/>
            <w:lang w:bidi="ar-SA"/>
          </w:rPr>
          <w:t>https://www.nhmrc.gov.au/_files_nhmrc/publications/attachments/n55_australian_dietary_guidelines_130530.pdf Accessed 8 May 2014</w:t>
        </w:r>
      </w:hyperlink>
    </w:p>
    <w:p w:rsidR="00444D7E" w:rsidRDefault="00BA4DCC" w:rsidP="00D9324E">
      <w:pPr>
        <w:rPr>
          <w:lang w:bidi="ar-SA"/>
        </w:rPr>
      </w:pPr>
      <w:proofErr w:type="spellStart"/>
      <w:r>
        <w:rPr>
          <w:lang w:bidi="ar-SA"/>
        </w:rPr>
        <w:t>Ratnayake</w:t>
      </w:r>
      <w:proofErr w:type="spellEnd"/>
      <w:r>
        <w:rPr>
          <w:lang w:bidi="ar-SA"/>
        </w:rPr>
        <w:t xml:space="preserve"> WM, </w:t>
      </w:r>
      <w:proofErr w:type="spellStart"/>
      <w:r>
        <w:rPr>
          <w:lang w:bidi="ar-SA"/>
        </w:rPr>
        <w:t>L’Abbe</w:t>
      </w:r>
      <w:proofErr w:type="spellEnd"/>
      <w:r>
        <w:rPr>
          <w:lang w:bidi="ar-SA"/>
        </w:rPr>
        <w:t xml:space="preserve"> MR, Farnworth S, </w:t>
      </w:r>
      <w:proofErr w:type="spellStart"/>
      <w:r>
        <w:rPr>
          <w:lang w:bidi="ar-SA"/>
        </w:rPr>
        <w:t>Dumais</w:t>
      </w:r>
      <w:proofErr w:type="spellEnd"/>
      <w:r>
        <w:rPr>
          <w:lang w:bidi="ar-SA"/>
        </w:rPr>
        <w:t xml:space="preserve"> L, Gagnon C, </w:t>
      </w:r>
      <w:proofErr w:type="spellStart"/>
      <w:r>
        <w:rPr>
          <w:lang w:bidi="ar-SA"/>
        </w:rPr>
        <w:t>Lampi</w:t>
      </w:r>
      <w:proofErr w:type="spellEnd"/>
      <w:r>
        <w:rPr>
          <w:lang w:bidi="ar-SA"/>
        </w:rPr>
        <w:t xml:space="preserve"> B, Casey V, </w:t>
      </w:r>
      <w:proofErr w:type="spellStart"/>
      <w:r>
        <w:rPr>
          <w:lang w:bidi="ar-SA"/>
        </w:rPr>
        <w:t>Mohottalage</w:t>
      </w:r>
      <w:proofErr w:type="spellEnd"/>
      <w:r>
        <w:rPr>
          <w:lang w:bidi="ar-SA"/>
        </w:rPr>
        <w:t xml:space="preserve"> D, </w:t>
      </w:r>
      <w:proofErr w:type="spellStart"/>
      <w:r w:rsidR="00101688">
        <w:rPr>
          <w:lang w:bidi="ar-SA"/>
        </w:rPr>
        <w:t>Rondeau</w:t>
      </w:r>
      <w:proofErr w:type="spellEnd"/>
      <w:r w:rsidR="00101688">
        <w:rPr>
          <w:lang w:bidi="ar-SA"/>
        </w:rPr>
        <w:t xml:space="preserve"> I, Underhill L (2009) Trans fatty acids: Current contents in Canadian foods and estimated intake levels for the Canadian population. J AOAC International 92:5 1258-1276</w:t>
      </w:r>
    </w:p>
    <w:p w:rsidR="006855D3" w:rsidRDefault="006855D3" w:rsidP="00D9324E">
      <w:pPr>
        <w:rPr>
          <w:lang w:bidi="ar-SA"/>
        </w:rPr>
      </w:pPr>
    </w:p>
    <w:p w:rsidR="006855D3" w:rsidRDefault="006855D3" w:rsidP="00D9324E">
      <w:pPr>
        <w:rPr>
          <w:lang w:bidi="ar-SA"/>
        </w:rPr>
      </w:pPr>
      <w:proofErr w:type="spellStart"/>
      <w:r>
        <w:rPr>
          <w:lang w:bidi="ar-SA"/>
        </w:rPr>
        <w:t>Remig</w:t>
      </w:r>
      <w:proofErr w:type="spellEnd"/>
      <w:r>
        <w:rPr>
          <w:lang w:bidi="ar-SA"/>
        </w:rPr>
        <w:t xml:space="preserve"> V, Franklin B, Margolis S, Kostas G, </w:t>
      </w:r>
      <w:proofErr w:type="spellStart"/>
      <w:r>
        <w:rPr>
          <w:lang w:bidi="ar-SA"/>
        </w:rPr>
        <w:t>Nece</w:t>
      </w:r>
      <w:proofErr w:type="spellEnd"/>
      <w:r>
        <w:rPr>
          <w:lang w:bidi="ar-SA"/>
        </w:rPr>
        <w:t xml:space="preserve"> T, Street J (2010) Trans fats in America: A review of their use, consumption, health implications, and regulation. J Am Diet </w:t>
      </w:r>
      <w:proofErr w:type="spellStart"/>
      <w:r>
        <w:rPr>
          <w:lang w:bidi="ar-SA"/>
        </w:rPr>
        <w:t>Assoc</w:t>
      </w:r>
      <w:proofErr w:type="spellEnd"/>
      <w:r>
        <w:rPr>
          <w:lang w:bidi="ar-SA"/>
        </w:rPr>
        <w:t xml:space="preserve"> 110:585-592</w:t>
      </w:r>
    </w:p>
    <w:p w:rsidR="00444D7E" w:rsidRDefault="00444D7E" w:rsidP="00D9324E">
      <w:pPr>
        <w:rPr>
          <w:rFonts w:cs="Arial"/>
          <w:bCs/>
        </w:rPr>
      </w:pPr>
    </w:p>
    <w:p w:rsidR="00753E38" w:rsidRDefault="00753E38" w:rsidP="00D9324E">
      <w:pPr>
        <w:rPr>
          <w:rFonts w:cs="Arial"/>
          <w:bCs/>
        </w:rPr>
      </w:pPr>
      <w:r>
        <w:rPr>
          <w:rFonts w:cs="Arial"/>
          <w:bCs/>
        </w:rPr>
        <w:t xml:space="preserve">Scientific Advisory Committee on Nutrition and Health (2007) Update on trans fatty acids and health. Position statement by the Scientific Advisory Committee on Nutrition and Health. London: The Stationary Office. </w:t>
      </w:r>
      <w:hyperlink r:id="rId25" w:history="1">
        <w:r w:rsidRPr="002B5AE8">
          <w:rPr>
            <w:rStyle w:val="Hyperlink"/>
            <w:rFonts w:cs="Arial"/>
            <w:bCs/>
          </w:rPr>
          <w:t>http://www.sacn.gov.uk/pdfs/sacn_trans_fatty_acids_report.pdf</w:t>
        </w:r>
      </w:hyperlink>
      <w:r>
        <w:rPr>
          <w:rFonts w:cs="Arial"/>
          <w:bCs/>
        </w:rPr>
        <w:t xml:space="preserve"> Accessed 19 May 2014</w:t>
      </w:r>
    </w:p>
    <w:p w:rsidR="00753E38" w:rsidRDefault="00753E38" w:rsidP="00D9324E">
      <w:pPr>
        <w:rPr>
          <w:rFonts w:cs="Arial"/>
          <w:bCs/>
        </w:rPr>
      </w:pPr>
    </w:p>
    <w:p w:rsidR="00AB5105" w:rsidRDefault="00AB5105" w:rsidP="00D9324E">
      <w:pPr>
        <w:rPr>
          <w:rFonts w:cs="Arial"/>
          <w:bCs/>
        </w:rPr>
      </w:pPr>
      <w:proofErr w:type="spellStart"/>
      <w:r>
        <w:rPr>
          <w:rFonts w:cs="Arial"/>
          <w:bCs/>
        </w:rPr>
        <w:t>Uauy</w:t>
      </w:r>
      <w:proofErr w:type="spellEnd"/>
      <w:r>
        <w:rPr>
          <w:rFonts w:cs="Arial"/>
          <w:bCs/>
        </w:rPr>
        <w:t xml:space="preserve"> R, </w:t>
      </w:r>
      <w:proofErr w:type="spellStart"/>
      <w:r>
        <w:rPr>
          <w:rFonts w:cs="Arial"/>
          <w:bCs/>
        </w:rPr>
        <w:t>Aro</w:t>
      </w:r>
      <w:proofErr w:type="spellEnd"/>
      <w:r w:rsidR="00E24ED0">
        <w:rPr>
          <w:rFonts w:cs="Arial"/>
          <w:bCs/>
        </w:rPr>
        <w:t xml:space="preserve"> A, Clarke R, </w:t>
      </w:r>
      <w:proofErr w:type="spellStart"/>
      <w:r w:rsidR="00E24ED0">
        <w:rPr>
          <w:rFonts w:cs="Arial"/>
          <w:bCs/>
        </w:rPr>
        <w:t>Ghafoorunissa</w:t>
      </w:r>
      <w:proofErr w:type="spellEnd"/>
      <w:r w:rsidR="00E24ED0">
        <w:rPr>
          <w:rFonts w:cs="Arial"/>
          <w:bCs/>
        </w:rPr>
        <w:t xml:space="preserve"> R, </w:t>
      </w:r>
      <w:proofErr w:type="spellStart"/>
      <w:r w:rsidR="00E24ED0">
        <w:rPr>
          <w:rFonts w:cs="Arial"/>
          <w:bCs/>
        </w:rPr>
        <w:t>L’Abbe</w:t>
      </w:r>
      <w:proofErr w:type="spellEnd"/>
      <w:r w:rsidR="00E24ED0">
        <w:rPr>
          <w:rFonts w:cs="Arial"/>
          <w:bCs/>
        </w:rPr>
        <w:t xml:space="preserve"> M, </w:t>
      </w:r>
      <w:proofErr w:type="spellStart"/>
      <w:r w:rsidR="00E24ED0">
        <w:rPr>
          <w:rFonts w:cs="Arial"/>
          <w:bCs/>
        </w:rPr>
        <w:t>Mozaffarian</w:t>
      </w:r>
      <w:proofErr w:type="spellEnd"/>
      <w:r w:rsidR="00E24ED0">
        <w:rPr>
          <w:rFonts w:cs="Arial"/>
          <w:bCs/>
        </w:rPr>
        <w:t xml:space="preserve"> D, </w:t>
      </w:r>
      <w:proofErr w:type="spellStart"/>
      <w:r w:rsidR="00E24ED0">
        <w:rPr>
          <w:rFonts w:cs="Arial"/>
          <w:bCs/>
        </w:rPr>
        <w:t>Skeaff</w:t>
      </w:r>
      <w:proofErr w:type="spellEnd"/>
      <w:r w:rsidR="00E24ED0">
        <w:rPr>
          <w:rFonts w:cs="Arial"/>
          <w:bCs/>
        </w:rPr>
        <w:t xml:space="preserve"> M, </w:t>
      </w:r>
      <w:proofErr w:type="spellStart"/>
      <w:r w:rsidR="00E24ED0">
        <w:rPr>
          <w:rFonts w:cs="Arial"/>
          <w:bCs/>
        </w:rPr>
        <w:t>Stender</w:t>
      </w:r>
      <w:proofErr w:type="spellEnd"/>
      <w:r w:rsidR="00E24ED0">
        <w:rPr>
          <w:rFonts w:cs="Arial"/>
          <w:bCs/>
        </w:rPr>
        <w:t xml:space="preserve"> S, </w:t>
      </w:r>
      <w:proofErr w:type="spellStart"/>
      <w:r w:rsidR="00E24ED0">
        <w:rPr>
          <w:rFonts w:cs="Arial"/>
          <w:bCs/>
        </w:rPr>
        <w:t>Tavella</w:t>
      </w:r>
      <w:proofErr w:type="spellEnd"/>
      <w:r w:rsidR="00E24ED0">
        <w:rPr>
          <w:rFonts w:cs="Arial"/>
          <w:bCs/>
        </w:rPr>
        <w:t xml:space="preserve"> M </w:t>
      </w:r>
      <w:r>
        <w:rPr>
          <w:rFonts w:cs="Arial"/>
          <w:bCs/>
        </w:rPr>
        <w:t>(2009) WHO</w:t>
      </w:r>
      <w:r w:rsidR="00E24ED0">
        <w:rPr>
          <w:rFonts w:cs="Arial"/>
          <w:bCs/>
        </w:rPr>
        <w:t xml:space="preserve"> Scientific update on </w:t>
      </w:r>
      <w:r w:rsidR="00E24ED0" w:rsidRPr="00E24ED0">
        <w:rPr>
          <w:rFonts w:cs="Arial"/>
          <w:bCs/>
          <w:i/>
        </w:rPr>
        <w:t>trans</w:t>
      </w:r>
      <w:r w:rsidR="00E24ED0">
        <w:rPr>
          <w:rFonts w:cs="Arial"/>
          <w:bCs/>
        </w:rPr>
        <w:t xml:space="preserve"> fatty acids: summary and conclusions. </w:t>
      </w:r>
      <w:proofErr w:type="spellStart"/>
      <w:r w:rsidR="00E24ED0">
        <w:rPr>
          <w:rFonts w:cs="Arial"/>
          <w:bCs/>
        </w:rPr>
        <w:t>Eur</w:t>
      </w:r>
      <w:proofErr w:type="spellEnd"/>
      <w:r w:rsidR="00E24ED0">
        <w:rPr>
          <w:rFonts w:cs="Arial"/>
          <w:bCs/>
        </w:rPr>
        <w:t xml:space="preserve"> J </w:t>
      </w:r>
      <w:proofErr w:type="spellStart"/>
      <w:r w:rsidR="00E24ED0">
        <w:rPr>
          <w:rFonts w:cs="Arial"/>
          <w:bCs/>
        </w:rPr>
        <w:t>Clin</w:t>
      </w:r>
      <w:proofErr w:type="spellEnd"/>
      <w:r w:rsidR="00E24ED0">
        <w:rPr>
          <w:rFonts w:cs="Arial"/>
          <w:bCs/>
        </w:rPr>
        <w:t xml:space="preserve"> </w:t>
      </w:r>
      <w:proofErr w:type="spellStart"/>
      <w:r w:rsidR="00E24ED0">
        <w:rPr>
          <w:rFonts w:cs="Arial"/>
          <w:bCs/>
        </w:rPr>
        <w:t>Nutr</w:t>
      </w:r>
      <w:proofErr w:type="spellEnd"/>
      <w:r w:rsidR="00E24ED0">
        <w:rPr>
          <w:rFonts w:cs="Arial"/>
          <w:bCs/>
        </w:rPr>
        <w:t xml:space="preserve"> 63:S68-S75</w:t>
      </w:r>
    </w:p>
    <w:p w:rsidR="00AB5105" w:rsidRDefault="00AB5105" w:rsidP="00D9324E">
      <w:pPr>
        <w:rPr>
          <w:rFonts w:cs="Arial"/>
          <w:bCs/>
        </w:rPr>
      </w:pPr>
    </w:p>
    <w:p w:rsidR="00C5521A" w:rsidRDefault="00C5521A" w:rsidP="00D9324E">
      <w:pPr>
        <w:rPr>
          <w:rFonts w:cs="Arial"/>
          <w:bCs/>
        </w:rPr>
      </w:pPr>
      <w:r>
        <w:rPr>
          <w:rFonts w:cs="Arial"/>
          <w:bCs/>
        </w:rPr>
        <w:t xml:space="preserve">UK Department of Health (2013) Nutrient analysis of a range of processed foods with particular reference to </w:t>
      </w:r>
      <w:r w:rsidRPr="00C5521A">
        <w:rPr>
          <w:rFonts w:cs="Arial"/>
          <w:bCs/>
          <w:i/>
        </w:rPr>
        <w:t>trans</w:t>
      </w:r>
      <w:r>
        <w:rPr>
          <w:rFonts w:cs="Arial"/>
          <w:bCs/>
        </w:rPr>
        <w:t xml:space="preserve"> fatty acids. Summary report (revised version – macro and micro-nutrients). Prepared by the Food Composition and Diet Team, Public Health Directorate. </w:t>
      </w:r>
      <w:hyperlink r:id="rId26" w:history="1">
        <w:r w:rsidRPr="00BA7AF2">
          <w:rPr>
            <w:rStyle w:val="Hyperlink"/>
            <w:rFonts w:cs="Arial"/>
            <w:bCs/>
          </w:rPr>
          <w:t>https://www.gov.uk/government/uploads/system/uploads/attachment_data/file/167938/Summary_Report.pdf</w:t>
        </w:r>
      </w:hyperlink>
      <w:r>
        <w:rPr>
          <w:rFonts w:cs="Arial"/>
          <w:bCs/>
        </w:rPr>
        <w:t xml:space="preserve"> Accessed 15 May 2014</w:t>
      </w:r>
    </w:p>
    <w:p w:rsidR="00C5521A" w:rsidRDefault="00C5521A" w:rsidP="00D9324E">
      <w:pPr>
        <w:rPr>
          <w:rFonts w:cs="Arial"/>
          <w:bCs/>
        </w:rPr>
      </w:pPr>
    </w:p>
    <w:p w:rsidR="009F44D8" w:rsidRDefault="009F44D8" w:rsidP="009F44D8">
      <w:pPr>
        <w:rPr>
          <w:rStyle w:val="Hyperlink"/>
          <w:szCs w:val="22"/>
        </w:rPr>
      </w:pPr>
      <w:r w:rsidRPr="00444D7E">
        <w:rPr>
          <w:szCs w:val="22"/>
        </w:rPr>
        <w:t xml:space="preserve">University </w:t>
      </w:r>
      <w:r w:rsidR="006A6C97">
        <w:rPr>
          <w:szCs w:val="22"/>
        </w:rPr>
        <w:t>of Otago and Ministry of Health (2011)</w:t>
      </w:r>
      <w:r w:rsidRPr="00444D7E">
        <w:rPr>
          <w:szCs w:val="22"/>
        </w:rPr>
        <w:t xml:space="preserve"> </w:t>
      </w:r>
      <w:r w:rsidRPr="00444D7E">
        <w:rPr>
          <w:i/>
          <w:iCs/>
          <w:szCs w:val="22"/>
        </w:rPr>
        <w:t>A Focus on Nutrition: Key findings of the 2008/09 New Zealand Adult Nutrition Survey</w:t>
      </w:r>
      <w:r w:rsidRPr="00444D7E">
        <w:rPr>
          <w:szCs w:val="22"/>
        </w:rPr>
        <w:t xml:space="preserve">. Wellington: Ministry of Health. </w:t>
      </w:r>
      <w:hyperlink r:id="rId27" w:history="1">
        <w:r w:rsidR="006A6C97" w:rsidRPr="00727FB9">
          <w:rPr>
            <w:rStyle w:val="Hyperlink"/>
            <w:szCs w:val="22"/>
          </w:rPr>
          <w:t>http://www.health.govt.nz/publication/focus-nutrition-key-findings-2008-09-nz-adult-nutrition-survey</w:t>
        </w:r>
      </w:hyperlink>
      <w:r w:rsidR="006A6C97">
        <w:rPr>
          <w:szCs w:val="22"/>
        </w:rPr>
        <w:t xml:space="preserve"> </w:t>
      </w:r>
      <w:r w:rsidRPr="00444D7E">
        <w:rPr>
          <w:szCs w:val="22"/>
        </w:rPr>
        <w:t>A</w:t>
      </w:r>
      <w:r w:rsidR="006A6C97">
        <w:rPr>
          <w:szCs w:val="22"/>
        </w:rPr>
        <w:t>ccessed 19 May 2014</w:t>
      </w:r>
    </w:p>
    <w:p w:rsidR="007650E5" w:rsidRDefault="007650E5" w:rsidP="009F44D8">
      <w:pPr>
        <w:rPr>
          <w:rStyle w:val="Hyperlink"/>
          <w:szCs w:val="22"/>
        </w:rPr>
      </w:pPr>
    </w:p>
    <w:p w:rsidR="00D9324E" w:rsidRDefault="00825A7D" w:rsidP="00A44114">
      <w:pPr>
        <w:rPr>
          <w:szCs w:val="22"/>
        </w:rPr>
      </w:pPr>
      <w:r>
        <w:rPr>
          <w:szCs w:val="22"/>
        </w:rPr>
        <w:t>WHO (2003)</w:t>
      </w:r>
      <w:r w:rsidR="007650E5" w:rsidRPr="007650E5">
        <w:rPr>
          <w:szCs w:val="22"/>
        </w:rPr>
        <w:t xml:space="preserve"> Diet, Nutrition and the </w:t>
      </w:r>
      <w:r w:rsidR="007650E5">
        <w:rPr>
          <w:szCs w:val="22"/>
        </w:rPr>
        <w:t xml:space="preserve">Prevention of Chronic Diseases. </w:t>
      </w:r>
      <w:r w:rsidR="007650E5" w:rsidRPr="007650E5">
        <w:rPr>
          <w:szCs w:val="22"/>
        </w:rPr>
        <w:t>Report of a Joint WHO/FAO Expert Consultation</w:t>
      </w:r>
      <w:r w:rsidR="007650E5">
        <w:rPr>
          <w:szCs w:val="22"/>
        </w:rPr>
        <w:t xml:space="preserve">. WHO Technical </w:t>
      </w:r>
      <w:r w:rsidR="007650E5" w:rsidRPr="007650E5">
        <w:rPr>
          <w:szCs w:val="22"/>
        </w:rPr>
        <w:t>Report Series No. 916. World Health Organization: Geneva.</w:t>
      </w:r>
      <w:r>
        <w:rPr>
          <w:szCs w:val="22"/>
        </w:rPr>
        <w:t xml:space="preserve"> </w:t>
      </w:r>
      <w:hyperlink r:id="rId28" w:history="1">
        <w:r w:rsidRPr="00C20ECD">
          <w:rPr>
            <w:rStyle w:val="Hyperlink"/>
            <w:szCs w:val="22"/>
          </w:rPr>
          <w:t>http://whqlibdoc.who.int/trs/who_trs_916.pdf</w:t>
        </w:r>
      </w:hyperlink>
      <w:r>
        <w:rPr>
          <w:szCs w:val="22"/>
        </w:rPr>
        <w:t xml:space="preserve"> </w:t>
      </w:r>
      <w:r>
        <w:rPr>
          <w:lang w:bidi="ar-SA"/>
        </w:rPr>
        <w:t>Accessed 19 May 2014</w:t>
      </w:r>
    </w:p>
    <w:p w:rsidR="00825A7D" w:rsidRDefault="00825A7D" w:rsidP="00A44114">
      <w:pPr>
        <w:rPr>
          <w:szCs w:val="22"/>
        </w:rPr>
      </w:pPr>
    </w:p>
    <w:p w:rsidR="00825A7D" w:rsidRDefault="00825A7D" w:rsidP="00825A7D">
      <w:pPr>
        <w:rPr>
          <w:lang w:bidi="ar-SA"/>
        </w:rPr>
      </w:pPr>
      <w:r>
        <w:rPr>
          <w:lang w:bidi="ar-SA"/>
        </w:rPr>
        <w:t xml:space="preserve">WHO (2004) Global Strategy on Diet, Physical Activity and Health. Resolution of the World Health Assembly. Fifty-seventh World Health Assembly. WHA57.17. World Health Organization: Geneva. </w:t>
      </w:r>
      <w:hyperlink r:id="rId29" w:history="1">
        <w:r w:rsidR="006A6C97" w:rsidRPr="00727FB9">
          <w:rPr>
            <w:rStyle w:val="Hyperlink"/>
            <w:lang w:bidi="ar-SA"/>
          </w:rPr>
          <w:t xml:space="preserve">http://www.who.int/dietphysicalactivity/strategy/eb11344/strategy_english_web.pdf </w:t>
        </w:r>
        <w:r w:rsidR="006A6C97" w:rsidRPr="00444D7E">
          <w:rPr>
            <w:szCs w:val="22"/>
          </w:rPr>
          <w:t>A</w:t>
        </w:r>
        <w:r w:rsidR="006A6C97">
          <w:rPr>
            <w:szCs w:val="22"/>
          </w:rPr>
          <w:t>ccessed 19 May 2014</w:t>
        </w:r>
        <w:r w:rsidR="006A6C97" w:rsidRPr="00727FB9">
          <w:rPr>
            <w:rStyle w:val="Hyperlink"/>
            <w:lang w:bidi="ar-SA"/>
          </w:rPr>
          <w:t xml:space="preserve"> </w:t>
        </w:r>
      </w:hyperlink>
    </w:p>
    <w:p w:rsidR="00A56514" w:rsidRDefault="00A56514" w:rsidP="00F26223">
      <w:pPr>
        <w:rPr>
          <w:lang w:bidi="ar-SA"/>
        </w:rPr>
      </w:pPr>
    </w:p>
    <w:p w:rsidR="00F26223" w:rsidRDefault="00F26223" w:rsidP="00F26223">
      <w:pPr>
        <w:rPr>
          <w:lang w:bidi="ar-SA"/>
        </w:rPr>
      </w:pPr>
      <w:r>
        <w:rPr>
          <w:lang w:bidi="ar-SA"/>
        </w:rPr>
        <w:t xml:space="preserve">Willett WC, </w:t>
      </w:r>
      <w:proofErr w:type="spellStart"/>
      <w:r>
        <w:rPr>
          <w:lang w:bidi="ar-SA"/>
        </w:rPr>
        <w:t>Stampfer</w:t>
      </w:r>
      <w:proofErr w:type="spellEnd"/>
      <w:r>
        <w:rPr>
          <w:lang w:bidi="ar-SA"/>
        </w:rPr>
        <w:t xml:space="preserve"> MJ, Manson JE, </w:t>
      </w:r>
      <w:proofErr w:type="spellStart"/>
      <w:r>
        <w:rPr>
          <w:lang w:bidi="ar-SA"/>
        </w:rPr>
        <w:t>Colditz</w:t>
      </w:r>
      <w:proofErr w:type="spellEnd"/>
      <w:r>
        <w:rPr>
          <w:lang w:bidi="ar-SA"/>
        </w:rPr>
        <w:t xml:space="preserve"> GA, </w:t>
      </w:r>
      <w:proofErr w:type="spellStart"/>
      <w:r>
        <w:rPr>
          <w:lang w:bidi="ar-SA"/>
        </w:rPr>
        <w:t>Speizer</w:t>
      </w:r>
      <w:proofErr w:type="spellEnd"/>
      <w:r>
        <w:rPr>
          <w:lang w:bidi="ar-SA"/>
        </w:rPr>
        <w:t xml:space="preserve"> FE, </w:t>
      </w:r>
      <w:proofErr w:type="spellStart"/>
      <w:r>
        <w:rPr>
          <w:lang w:bidi="ar-SA"/>
        </w:rPr>
        <w:t>Rosner</w:t>
      </w:r>
      <w:proofErr w:type="spellEnd"/>
      <w:r>
        <w:rPr>
          <w:lang w:bidi="ar-SA"/>
        </w:rPr>
        <w:t xml:space="preserve"> BA, Sampson LA, </w:t>
      </w:r>
    </w:p>
    <w:p w:rsidR="00F26223" w:rsidRDefault="00F26223" w:rsidP="00F26223">
      <w:pPr>
        <w:rPr>
          <w:lang w:bidi="ar-SA"/>
        </w:rPr>
      </w:pPr>
      <w:proofErr w:type="spellStart"/>
      <w:r>
        <w:rPr>
          <w:lang w:bidi="ar-SA"/>
        </w:rPr>
        <w:t>Hennekens</w:t>
      </w:r>
      <w:proofErr w:type="spellEnd"/>
      <w:r>
        <w:rPr>
          <w:lang w:bidi="ar-SA"/>
        </w:rPr>
        <w:t xml:space="preserve"> CH (1993) Intake of trans fatty acids and risk of coronary heart disease among</w:t>
      </w:r>
    </w:p>
    <w:p w:rsidR="00825A7D" w:rsidRDefault="00F26223" w:rsidP="00825A7D">
      <w:pPr>
        <w:rPr>
          <w:lang w:bidi="ar-SA"/>
        </w:rPr>
      </w:pPr>
      <w:r>
        <w:rPr>
          <w:lang w:bidi="ar-SA"/>
        </w:rPr>
        <w:t>women. Lancet 341, 581-585.</w:t>
      </w:r>
    </w:p>
    <w:p w:rsidR="00343949" w:rsidRDefault="00343949" w:rsidP="00825A7D">
      <w:pPr>
        <w:rPr>
          <w:lang w:bidi="ar-SA"/>
        </w:rPr>
      </w:pPr>
    </w:p>
    <w:p w:rsidR="00B6254E" w:rsidRDefault="00B6254E">
      <w:pPr>
        <w:widowControl/>
        <w:rPr>
          <w:b/>
          <w:bCs/>
        </w:rPr>
        <w:sectPr w:rsidR="00B6254E" w:rsidSect="00C630F2">
          <w:footerReference w:type="default" r:id="rId30"/>
          <w:pgSz w:w="11906" w:h="16838" w:code="9"/>
          <w:pgMar w:top="1440" w:right="1440" w:bottom="1440" w:left="1440" w:header="709" w:footer="709" w:gutter="0"/>
          <w:pgNumType w:start="1"/>
          <w:cols w:space="708"/>
          <w:docGrid w:linePitch="360"/>
        </w:sectPr>
      </w:pPr>
    </w:p>
    <w:p w:rsidR="00343949" w:rsidRDefault="00650B01" w:rsidP="00650B01">
      <w:pPr>
        <w:pStyle w:val="Heading2"/>
        <w:ind w:left="0" w:firstLine="0"/>
      </w:pPr>
      <w:bookmarkStart w:id="44" w:name="_Toc409699761"/>
      <w:r>
        <w:lastRenderedPageBreak/>
        <w:t xml:space="preserve">Attachment 1: </w:t>
      </w:r>
      <w:r w:rsidR="007819E4">
        <w:t>International r</w:t>
      </w:r>
      <w:r w:rsidR="0000484B">
        <w:t>egulatory and non-regulatory a</w:t>
      </w:r>
      <w:r w:rsidR="00182670">
        <w:t>pproaches used</w:t>
      </w:r>
      <w:r>
        <w:t xml:space="preserve"> for reducing </w:t>
      </w:r>
      <w:r w:rsidRPr="00903916">
        <w:t>trans</w:t>
      </w:r>
      <w:r>
        <w:t xml:space="preserve"> fatty acids</w:t>
      </w:r>
      <w:r w:rsidR="00182670">
        <w:t xml:space="preserve"> in the food supply</w:t>
      </w:r>
      <w:bookmarkEnd w:id="44"/>
    </w:p>
    <w:p w:rsidR="00B6254E" w:rsidRDefault="00B6254E" w:rsidP="00B6254E">
      <w:pPr>
        <w:rPr>
          <w:b/>
        </w:rPr>
      </w:pPr>
      <w:r w:rsidRPr="00B6254E">
        <w:rPr>
          <w:b/>
        </w:rPr>
        <w:t>Canada</w:t>
      </w:r>
    </w:p>
    <w:p w:rsidR="00B6254E" w:rsidRPr="00B6254E" w:rsidRDefault="00B6254E" w:rsidP="00B6254E">
      <w:pPr>
        <w:rPr>
          <w:b/>
        </w:rPr>
      </w:pPr>
    </w:p>
    <w:p w:rsidR="00B6254E" w:rsidRDefault="00B6254E" w:rsidP="00B6254E">
      <w:pPr>
        <w:rPr>
          <w:lang w:bidi="ar-SA"/>
        </w:rPr>
      </w:pPr>
      <w:r>
        <w:rPr>
          <w:lang w:bidi="ar-SA"/>
        </w:rPr>
        <w:t>Canada introduced mandatory labelling of TFAs in 2005, the first country to do so. The Trans Fat Task Force was established in 2005 to develop recommendations to reduce TFAs in the food supply. In 2007, Health Canada announced that it had adopted the recommendations of the Trans Fat Task Force with respect to the amount of TFAs in foods as a voluntary measure to support the reduction of TFA levels in foods</w:t>
      </w:r>
      <w:r>
        <w:rPr>
          <w:rStyle w:val="FootnoteReference"/>
          <w:lang w:bidi="ar-SA"/>
        </w:rPr>
        <w:footnoteReference w:id="8"/>
      </w:r>
      <w:r>
        <w:rPr>
          <w:lang w:bidi="ar-SA"/>
        </w:rPr>
        <w:t>. The recommendations were as follows:</w:t>
      </w:r>
    </w:p>
    <w:p w:rsidR="00B6254E" w:rsidRDefault="00B6254E" w:rsidP="00B6254E">
      <w:pPr>
        <w:rPr>
          <w:lang w:bidi="ar-SA"/>
        </w:rPr>
      </w:pPr>
    </w:p>
    <w:p w:rsidR="00B6254E" w:rsidRDefault="00B6254E" w:rsidP="00D66ECB">
      <w:pPr>
        <w:pStyle w:val="ListParagraph"/>
        <w:numPr>
          <w:ilvl w:val="0"/>
          <w:numId w:val="6"/>
        </w:numPr>
        <w:ind w:left="567" w:hanging="567"/>
        <w:rPr>
          <w:rFonts w:cs="Arial"/>
        </w:rPr>
      </w:pPr>
      <w:r w:rsidRPr="003D5DA6">
        <w:rPr>
          <w:rFonts w:cs="Arial"/>
        </w:rPr>
        <w:t>For all vegetable oils and soft, spreadable (tub-type) margarines sold to consumers or</w:t>
      </w:r>
      <w:r>
        <w:rPr>
          <w:rFonts w:cs="Arial"/>
        </w:rPr>
        <w:t xml:space="preserve"> </w:t>
      </w:r>
      <w:r w:rsidRPr="003D5DA6">
        <w:rPr>
          <w:rFonts w:cs="Arial"/>
        </w:rPr>
        <w:t>for use as an ingredient in the preparation of foo</w:t>
      </w:r>
      <w:r>
        <w:rPr>
          <w:rFonts w:cs="Arial"/>
        </w:rPr>
        <w:t>ds on site by retailers or food</w:t>
      </w:r>
      <w:r w:rsidRPr="003D5DA6">
        <w:rPr>
          <w:rFonts w:cs="Arial"/>
        </w:rPr>
        <w:t>service</w:t>
      </w:r>
      <w:r>
        <w:rPr>
          <w:rFonts w:cs="Arial"/>
        </w:rPr>
        <w:t xml:space="preserve"> </w:t>
      </w:r>
      <w:r w:rsidRPr="003D5DA6">
        <w:rPr>
          <w:rFonts w:cs="Arial"/>
        </w:rPr>
        <w:t xml:space="preserve">establishments, the total </w:t>
      </w:r>
      <w:r>
        <w:rPr>
          <w:rFonts w:cs="Arial"/>
        </w:rPr>
        <w:t xml:space="preserve">TFA </w:t>
      </w:r>
      <w:r w:rsidRPr="003D5DA6">
        <w:rPr>
          <w:rFonts w:cs="Arial"/>
        </w:rPr>
        <w:t xml:space="preserve">content </w:t>
      </w:r>
      <w:r>
        <w:rPr>
          <w:rFonts w:cs="Arial"/>
        </w:rPr>
        <w:t>was</w:t>
      </w:r>
      <w:r w:rsidRPr="003D5DA6">
        <w:rPr>
          <w:rFonts w:cs="Arial"/>
        </w:rPr>
        <w:t xml:space="preserve"> limited to 2% of total fat</w:t>
      </w:r>
      <w:r>
        <w:rPr>
          <w:rFonts w:cs="Arial"/>
        </w:rPr>
        <w:t xml:space="preserve"> </w:t>
      </w:r>
      <w:r w:rsidRPr="003D5DA6">
        <w:rPr>
          <w:rFonts w:cs="Arial"/>
        </w:rPr>
        <w:t>content.</w:t>
      </w:r>
    </w:p>
    <w:p w:rsidR="00B6254E" w:rsidRDefault="00B6254E" w:rsidP="00B6254E">
      <w:pPr>
        <w:pStyle w:val="ListParagraph"/>
        <w:ind w:left="567"/>
        <w:rPr>
          <w:rFonts w:cs="Arial"/>
        </w:rPr>
      </w:pPr>
    </w:p>
    <w:p w:rsidR="00B6254E" w:rsidRPr="003D5DA6" w:rsidRDefault="00B6254E" w:rsidP="00D66ECB">
      <w:pPr>
        <w:pStyle w:val="ListParagraph"/>
        <w:numPr>
          <w:ilvl w:val="0"/>
          <w:numId w:val="6"/>
        </w:numPr>
        <w:ind w:left="567" w:hanging="567"/>
        <w:rPr>
          <w:rFonts w:cs="Arial"/>
        </w:rPr>
      </w:pPr>
      <w:r>
        <w:t>For all other foods purchased by a retail or foodservice establishment for sale to consumers or for use as an ingredient in the preparation of foods on site, the total TFA content was limited to 5% of total fat content. This limit did not apply to foods for which the fat originated exclusively from ruminant meat or dairy.</w:t>
      </w:r>
    </w:p>
    <w:p w:rsidR="00B6254E" w:rsidRDefault="00B6254E" w:rsidP="00B6254E">
      <w:pPr>
        <w:rPr>
          <w:lang w:bidi="ar-SA"/>
        </w:rPr>
      </w:pPr>
    </w:p>
    <w:p w:rsidR="00B6254E" w:rsidRDefault="00B6254E" w:rsidP="00B6254E">
      <w:pPr>
        <w:rPr>
          <w:lang w:bidi="ar-SA"/>
        </w:rPr>
      </w:pPr>
      <w:r>
        <w:rPr>
          <w:lang w:bidi="ar-SA"/>
        </w:rPr>
        <w:t>The Minister called on the food industry to achieve these limits within two years and stated that if significant progress had</w:t>
      </w:r>
      <w:r w:rsidRPr="005723A4">
        <w:rPr>
          <w:lang w:bidi="ar-SA"/>
        </w:rPr>
        <w:t xml:space="preserve"> not been made </w:t>
      </w:r>
      <w:r>
        <w:rPr>
          <w:lang w:bidi="ar-SA"/>
        </w:rPr>
        <w:t>after that time</w:t>
      </w:r>
      <w:r w:rsidRPr="005723A4">
        <w:rPr>
          <w:lang w:bidi="ar-SA"/>
        </w:rPr>
        <w:t xml:space="preserve">, regulations </w:t>
      </w:r>
      <w:r>
        <w:rPr>
          <w:lang w:bidi="ar-SA"/>
        </w:rPr>
        <w:t xml:space="preserve">would be developed </w:t>
      </w:r>
      <w:r w:rsidRPr="005723A4">
        <w:rPr>
          <w:lang w:bidi="ar-SA"/>
        </w:rPr>
        <w:t>to ensure that the recommended levels are met.</w:t>
      </w:r>
    </w:p>
    <w:p w:rsidR="00B6254E" w:rsidRDefault="00B6254E" w:rsidP="00B6254E">
      <w:pPr>
        <w:rPr>
          <w:lang w:bidi="ar-SA"/>
        </w:rPr>
      </w:pPr>
    </w:p>
    <w:p w:rsidR="00B6254E" w:rsidRDefault="00B6254E" w:rsidP="00B6254E">
      <w:pPr>
        <w:rPr>
          <w:lang w:bidi="ar-SA"/>
        </w:rPr>
      </w:pPr>
      <w:r>
        <w:rPr>
          <w:lang w:bidi="ar-SA"/>
        </w:rPr>
        <w:t>Results from several TFA monitoring surveys have been published.</w:t>
      </w:r>
      <w:r>
        <w:rPr>
          <w:rStyle w:val="FootnoteReference"/>
          <w:lang w:bidi="ar-SA"/>
        </w:rPr>
        <w:footnoteReference w:id="9"/>
      </w:r>
      <w:r>
        <w:rPr>
          <w:lang w:bidi="ar-SA"/>
        </w:rPr>
        <w:t xml:space="preserve"> From 2005</w:t>
      </w:r>
      <w:r w:rsidR="001E6B1A">
        <w:rPr>
          <w:rFonts w:cs="Arial"/>
          <w:lang w:bidi="ar-SA"/>
        </w:rPr>
        <w:t>‒</w:t>
      </w:r>
      <w:r>
        <w:rPr>
          <w:lang w:bidi="ar-SA"/>
        </w:rPr>
        <w:t>2009, 1120 food samples were analysed of which 76% met the voluntary TFA limits (</w:t>
      </w:r>
      <w:proofErr w:type="spellStart"/>
      <w:r>
        <w:rPr>
          <w:lang w:bidi="ar-SA"/>
        </w:rPr>
        <w:t>Ratanyake</w:t>
      </w:r>
      <w:proofErr w:type="spellEnd"/>
      <w:r>
        <w:rPr>
          <w:lang w:bidi="ar-SA"/>
        </w:rPr>
        <w:t xml:space="preserve"> et al. 2009). The average TFA intake declined from 3.7% of dietary energy in the mid-1990’s to 1.4% of dietary energy in 2008. Of interest is that there was no change in mean SFA intake by Canadians between 2004 and 2008 with the estimated 2008 intake of SFA being 10.4% of total energy (</w:t>
      </w:r>
      <w:proofErr w:type="spellStart"/>
      <w:r>
        <w:rPr>
          <w:lang w:bidi="ar-SA"/>
        </w:rPr>
        <w:t>Ratanyake</w:t>
      </w:r>
      <w:proofErr w:type="spellEnd"/>
      <w:r>
        <w:rPr>
          <w:lang w:bidi="ar-SA"/>
        </w:rPr>
        <w:t xml:space="preserve"> et al. 2009). A more recent estimate of TFA content of foods indicates that the proportion of foods meeting the TFA voluntary limits may have increased to around 96% in 2010</w:t>
      </w:r>
      <w:r w:rsidR="001E6B1A">
        <w:rPr>
          <w:rFonts w:cs="Arial"/>
          <w:lang w:bidi="ar-SA"/>
        </w:rPr>
        <w:t>‒</w:t>
      </w:r>
      <w:r>
        <w:rPr>
          <w:lang w:bidi="ar-SA"/>
        </w:rPr>
        <w:t>11, however the range of foods sampled in the various surveys differs (</w:t>
      </w:r>
      <w:proofErr w:type="spellStart"/>
      <w:r>
        <w:rPr>
          <w:lang w:bidi="ar-SA"/>
        </w:rPr>
        <w:t>Arcandi</w:t>
      </w:r>
      <w:proofErr w:type="spellEnd"/>
      <w:r>
        <w:rPr>
          <w:lang w:bidi="ar-SA"/>
        </w:rPr>
        <w:t xml:space="preserve"> et al. 2014). A number of food categories were noted to have a large proportion of foods exceeding the voluntary TFA limits including dairy-free cheeses, frosting, shortening, restaurant prepared biscuits and scones.</w:t>
      </w:r>
    </w:p>
    <w:p w:rsidR="00B6254E" w:rsidRDefault="00B6254E" w:rsidP="00B6254E">
      <w:pPr>
        <w:rPr>
          <w:lang w:bidi="ar-SA"/>
        </w:rPr>
      </w:pPr>
    </w:p>
    <w:p w:rsidR="00B6254E" w:rsidRDefault="00B6254E" w:rsidP="00B6254E">
      <w:pPr>
        <w:rPr>
          <w:lang w:bidi="ar-SA"/>
        </w:rPr>
      </w:pPr>
      <w:r w:rsidRPr="00714F6F">
        <w:rPr>
          <w:lang w:bidi="ar-SA"/>
        </w:rPr>
        <w:t>Other than mandatory labelling no other regulatory action to reduce the TFA content of foods has been taken in Canada to date.</w:t>
      </w:r>
    </w:p>
    <w:p w:rsidR="00B6254E" w:rsidRDefault="00B6254E" w:rsidP="00B6254E"/>
    <w:p w:rsidR="00B6254E" w:rsidRPr="00B6254E" w:rsidRDefault="00B6254E" w:rsidP="00B6254E">
      <w:pPr>
        <w:rPr>
          <w:b/>
        </w:rPr>
      </w:pPr>
      <w:r w:rsidRPr="00B6254E">
        <w:rPr>
          <w:b/>
        </w:rPr>
        <w:t>United States of America (USA)</w:t>
      </w:r>
    </w:p>
    <w:p w:rsidR="00B6254E" w:rsidRDefault="00B6254E" w:rsidP="00B6254E"/>
    <w:p w:rsidR="00B6254E" w:rsidRDefault="00B6254E" w:rsidP="00B6254E">
      <w:r>
        <w:t>The USA introduced mandatory labelling</w:t>
      </w:r>
      <w:r w:rsidR="00BE61C5">
        <w:t xml:space="preserve"> of TFAs</w:t>
      </w:r>
      <w:r>
        <w:t xml:space="preserve"> in 2006. There have been no other country-wide regulations implemented, however, t</w:t>
      </w:r>
      <w:r w:rsidRPr="000B3E23">
        <w:t>he state of California and some cities across the US</w:t>
      </w:r>
      <w:r>
        <w:t>A</w:t>
      </w:r>
      <w:r w:rsidRPr="000B3E23">
        <w:t xml:space="preserve"> have introduced laws or voluntary initiatives designed to reduce the consumption of TFAs. For example, restaurants in New York City were barred from using most frying and spreading fats containing manufactured TFAs above 0.5 g per serving from 1 July 1, 2007. From 1 January 2011, all foods containing 0.5 g or more of manufactured TFAs per serving were banned in California, with the exception of food sold in an original sealed package.</w:t>
      </w:r>
    </w:p>
    <w:p w:rsidR="00AC3F12" w:rsidRDefault="00AC3F12" w:rsidP="00B6254E"/>
    <w:p w:rsidR="00B6254E" w:rsidRDefault="00B6254E" w:rsidP="00B6254E">
      <w:r>
        <w:t>From 2005, the USA Department of Agriculture and the USA Department of Health and Human Services have issued guidelines recommending reducing TFA consumption and requesting industry to decrease the TFA content of foods.</w:t>
      </w:r>
    </w:p>
    <w:p w:rsidR="00B6254E" w:rsidRDefault="00B6254E" w:rsidP="00B6254E"/>
    <w:p w:rsidR="00B6254E" w:rsidRPr="003E1E93" w:rsidRDefault="00B6254E" w:rsidP="00B6254E">
      <w:r>
        <w:t xml:space="preserve">In 2003, the mean adult (aged 20 years or more) intake of </w:t>
      </w:r>
      <w:r>
        <w:rPr>
          <w:iCs/>
        </w:rPr>
        <w:t>TFAs</w:t>
      </w:r>
      <w:r>
        <w:t xml:space="preserve"> from foods containing manufactured TFAs was 4.6 g per day (2.0% of energy based on a 2,000 calorie diet). The total </w:t>
      </w:r>
      <w:r>
        <w:rPr>
          <w:iCs/>
        </w:rPr>
        <w:t>TFA intake</w:t>
      </w:r>
      <w:r>
        <w:t xml:space="preserve"> from foods containing manufactured TFAs and ruminant TFAs was 5.8 g per day for adults (2.6% of total energy). According to 2010 estimates, intakes of manufactured TFAs have decreased since 2003. In 2010, the mean </w:t>
      </w:r>
      <w:r>
        <w:rPr>
          <w:iCs/>
        </w:rPr>
        <w:t>TFA</w:t>
      </w:r>
      <w:r>
        <w:t xml:space="preserve"> intake for those aged 2 years or more</w:t>
      </w:r>
      <w:hyperlink r:id="rId31" w:anchor="footnote-8" w:history="1">
        <w:r>
          <w:rPr>
            <w:rStyle w:val="Hyperlink"/>
            <w:vertAlign w:val="superscript"/>
          </w:rPr>
          <w:t xml:space="preserve"> </w:t>
        </w:r>
      </w:hyperlink>
      <w:r>
        <w:t xml:space="preserve">who consumed one or more of processed foods identified as containing manufactured TFAs to be 1.3 g per day (0.6% of total energy). For high-level consumers (represented by the 90th percentile), the intake was estimated to be 2.6 g per day (1.2% of total energy). In 2012, a further estimate of </w:t>
      </w:r>
      <w:r w:rsidRPr="003E1E93">
        <w:rPr>
          <w:rFonts w:cs="Arial"/>
          <w:szCs w:val="22"/>
          <w:lang w:val="en-NZ" w:eastAsia="en-NZ" w:bidi="ar-SA"/>
        </w:rPr>
        <w:t xml:space="preserve">mean </w:t>
      </w:r>
      <w:r>
        <w:rPr>
          <w:rFonts w:cs="Arial"/>
          <w:szCs w:val="22"/>
          <w:lang w:val="en-NZ" w:eastAsia="en-NZ" w:bidi="ar-SA"/>
        </w:rPr>
        <w:t xml:space="preserve">TFA </w:t>
      </w:r>
      <w:r w:rsidRPr="003E1E93">
        <w:rPr>
          <w:rFonts w:cs="Arial"/>
          <w:szCs w:val="22"/>
          <w:lang w:val="en-NZ" w:eastAsia="en-NZ" w:bidi="ar-SA"/>
        </w:rPr>
        <w:t>intake</w:t>
      </w:r>
      <w:r>
        <w:rPr>
          <w:rFonts w:cs="Arial"/>
          <w:szCs w:val="22"/>
          <w:lang w:val="en-NZ" w:eastAsia="en-NZ" w:bidi="ar-SA"/>
        </w:rPr>
        <w:t>,</w:t>
      </w:r>
      <w:r w:rsidRPr="003E1E93">
        <w:rPr>
          <w:rFonts w:cs="Arial"/>
          <w:szCs w:val="22"/>
          <w:lang w:val="en-NZ" w:eastAsia="en-NZ" w:bidi="ar-SA"/>
        </w:rPr>
        <w:t xml:space="preserve"> </w:t>
      </w:r>
      <w:r>
        <w:rPr>
          <w:rFonts w:cs="Arial"/>
          <w:szCs w:val="22"/>
          <w:lang w:val="en-NZ" w:eastAsia="en-NZ" w:bidi="ar-SA"/>
        </w:rPr>
        <w:t>for the USA</w:t>
      </w:r>
      <w:r w:rsidRPr="003E1E93">
        <w:rPr>
          <w:rFonts w:cs="Arial"/>
          <w:szCs w:val="22"/>
          <w:lang w:val="en-NZ" w:eastAsia="en-NZ" w:bidi="ar-SA"/>
        </w:rPr>
        <w:t xml:space="preserve"> population aged 2 years or more</w:t>
      </w:r>
      <w:r>
        <w:rPr>
          <w:rFonts w:cs="Arial"/>
          <w:szCs w:val="22"/>
          <w:lang w:val="en-NZ" w:eastAsia="en-NZ" w:bidi="ar-SA"/>
        </w:rPr>
        <w:t>,</w:t>
      </w:r>
      <w:r>
        <w:t xml:space="preserve"> </w:t>
      </w:r>
      <w:r>
        <w:rPr>
          <w:rFonts w:cs="Arial"/>
          <w:szCs w:val="22"/>
          <w:lang w:val="en-NZ" w:eastAsia="en-NZ" w:bidi="ar-SA"/>
        </w:rPr>
        <w:t xml:space="preserve">was 1.0 g per day (0.5% </w:t>
      </w:r>
      <w:r w:rsidRPr="003E1E93">
        <w:rPr>
          <w:rFonts w:cs="Arial"/>
          <w:szCs w:val="22"/>
          <w:lang w:val="en-NZ" w:eastAsia="en-NZ" w:bidi="ar-SA"/>
        </w:rPr>
        <w:t xml:space="preserve">of energy) </w:t>
      </w:r>
      <w:r>
        <w:rPr>
          <w:rFonts w:cs="Arial"/>
          <w:szCs w:val="22"/>
          <w:lang w:val="en-NZ" w:eastAsia="en-NZ" w:bidi="ar-SA"/>
        </w:rPr>
        <w:t>with</w:t>
      </w:r>
      <w:r w:rsidRPr="003E1E93">
        <w:rPr>
          <w:rFonts w:cs="Arial"/>
          <w:szCs w:val="22"/>
          <w:lang w:val="en-NZ" w:eastAsia="en-NZ" w:bidi="ar-SA"/>
        </w:rPr>
        <w:t xml:space="preserve"> the 90th percentile </w:t>
      </w:r>
      <w:r>
        <w:rPr>
          <w:rFonts w:cs="Arial"/>
          <w:szCs w:val="22"/>
          <w:lang w:val="en-NZ" w:eastAsia="en-NZ" w:bidi="ar-SA"/>
        </w:rPr>
        <w:t>at</w:t>
      </w:r>
      <w:r w:rsidRPr="003E1E93">
        <w:rPr>
          <w:rFonts w:cs="Arial"/>
          <w:szCs w:val="22"/>
          <w:lang w:val="en-NZ" w:eastAsia="en-NZ" w:bidi="ar-SA"/>
        </w:rPr>
        <w:t xml:space="preserve"> 2.0 g</w:t>
      </w:r>
      <w:r>
        <w:rPr>
          <w:rFonts w:cs="Arial"/>
          <w:szCs w:val="22"/>
          <w:lang w:val="en-NZ" w:eastAsia="en-NZ" w:bidi="ar-SA"/>
        </w:rPr>
        <w:t xml:space="preserve"> per day (1.0%</w:t>
      </w:r>
      <w:r w:rsidRPr="003E1E93">
        <w:rPr>
          <w:rFonts w:cs="Arial"/>
          <w:szCs w:val="22"/>
          <w:lang w:val="en-NZ" w:eastAsia="en-NZ" w:bidi="ar-SA"/>
        </w:rPr>
        <w:t xml:space="preserve"> of energy) </w:t>
      </w:r>
      <w:r>
        <w:rPr>
          <w:rFonts w:cs="Arial"/>
          <w:szCs w:val="22"/>
          <w:lang w:val="en-NZ" w:eastAsia="en-NZ" w:bidi="ar-SA"/>
        </w:rPr>
        <w:t>An</w:t>
      </w:r>
      <w:r w:rsidRPr="003E1E93">
        <w:rPr>
          <w:rFonts w:cs="Arial"/>
          <w:szCs w:val="22"/>
          <w:lang w:val="en-NZ" w:eastAsia="en-NZ" w:bidi="ar-SA"/>
        </w:rPr>
        <w:t xml:space="preserve"> estimate for a high-intake scenario </w:t>
      </w:r>
      <w:r>
        <w:rPr>
          <w:rFonts w:cs="Arial"/>
          <w:szCs w:val="22"/>
          <w:lang w:val="en-NZ" w:eastAsia="en-NZ" w:bidi="ar-SA"/>
        </w:rPr>
        <w:t>(</w:t>
      </w:r>
      <w:r w:rsidRPr="003E1E93">
        <w:rPr>
          <w:rFonts w:cs="Arial"/>
          <w:szCs w:val="22"/>
          <w:lang w:val="en-NZ" w:eastAsia="en-NZ" w:bidi="ar-SA"/>
        </w:rPr>
        <w:t xml:space="preserve">by assuming that </w:t>
      </w:r>
      <w:r>
        <w:rPr>
          <w:rFonts w:cs="Arial"/>
          <w:iCs/>
          <w:szCs w:val="22"/>
          <w:lang w:val="en-NZ" w:eastAsia="en-NZ" w:bidi="ar-SA"/>
        </w:rPr>
        <w:t>TFAs</w:t>
      </w:r>
      <w:r>
        <w:rPr>
          <w:rFonts w:cs="Arial"/>
          <w:szCs w:val="22"/>
          <w:lang w:val="en-NZ" w:eastAsia="en-NZ" w:bidi="ar-SA"/>
        </w:rPr>
        <w:t xml:space="preserve"> were</w:t>
      </w:r>
      <w:r w:rsidRPr="003E1E93">
        <w:rPr>
          <w:rFonts w:cs="Arial"/>
          <w:szCs w:val="22"/>
          <w:lang w:val="en-NZ" w:eastAsia="en-NZ" w:bidi="ar-SA"/>
        </w:rPr>
        <w:t xml:space="preserve"> present at the highest level observed for all foods within a particular food category based on </w:t>
      </w:r>
      <w:r>
        <w:rPr>
          <w:rFonts w:cs="Arial"/>
          <w:szCs w:val="22"/>
          <w:lang w:val="en-NZ" w:eastAsia="en-NZ" w:bidi="ar-SA"/>
        </w:rPr>
        <w:t>a</w:t>
      </w:r>
      <w:r w:rsidRPr="003E1E93">
        <w:rPr>
          <w:rFonts w:cs="Arial"/>
          <w:szCs w:val="22"/>
          <w:lang w:val="en-NZ" w:eastAsia="en-NZ" w:bidi="ar-SA"/>
        </w:rPr>
        <w:t xml:space="preserve"> label survey</w:t>
      </w:r>
      <w:r>
        <w:rPr>
          <w:rFonts w:cs="Arial"/>
          <w:szCs w:val="22"/>
          <w:lang w:val="en-NZ" w:eastAsia="en-NZ" w:bidi="ar-SA"/>
        </w:rPr>
        <w:t>) was also determined</w:t>
      </w:r>
      <w:r w:rsidRPr="003E1E93">
        <w:rPr>
          <w:rFonts w:cs="Arial"/>
          <w:szCs w:val="22"/>
          <w:lang w:val="en-NZ" w:eastAsia="en-NZ" w:bidi="ar-SA"/>
        </w:rPr>
        <w:t xml:space="preserve">. For this scenario, the mean intake </w:t>
      </w:r>
      <w:r>
        <w:rPr>
          <w:rFonts w:cs="Arial"/>
          <w:szCs w:val="22"/>
          <w:lang w:val="en-NZ" w:eastAsia="en-NZ" w:bidi="ar-SA"/>
        </w:rPr>
        <w:t>was</w:t>
      </w:r>
      <w:r w:rsidRPr="003E1E93">
        <w:rPr>
          <w:rFonts w:cs="Arial"/>
          <w:szCs w:val="22"/>
          <w:lang w:val="en-NZ" w:eastAsia="en-NZ" w:bidi="ar-SA"/>
        </w:rPr>
        <w:t xml:space="preserve"> 2.1 </w:t>
      </w:r>
      <w:r>
        <w:rPr>
          <w:rFonts w:cs="Arial"/>
          <w:szCs w:val="22"/>
          <w:lang w:val="en-NZ" w:eastAsia="en-NZ" w:bidi="ar-SA"/>
        </w:rPr>
        <w:t>g per day (1%</w:t>
      </w:r>
      <w:r w:rsidRPr="003E1E93">
        <w:rPr>
          <w:rFonts w:cs="Arial"/>
          <w:szCs w:val="22"/>
          <w:lang w:val="en-NZ" w:eastAsia="en-NZ" w:bidi="ar-SA"/>
        </w:rPr>
        <w:t xml:space="preserve"> of energy) </w:t>
      </w:r>
      <w:r>
        <w:rPr>
          <w:rFonts w:cs="Arial"/>
          <w:szCs w:val="22"/>
          <w:lang w:val="en-NZ" w:eastAsia="en-NZ" w:bidi="ar-SA"/>
        </w:rPr>
        <w:t xml:space="preserve">with </w:t>
      </w:r>
      <w:r w:rsidRPr="003E1E93">
        <w:rPr>
          <w:rFonts w:cs="Arial"/>
          <w:szCs w:val="22"/>
          <w:lang w:val="en-NZ" w:eastAsia="en-NZ" w:bidi="ar-SA"/>
        </w:rPr>
        <w:t xml:space="preserve">the 90th percentile </w:t>
      </w:r>
      <w:r>
        <w:rPr>
          <w:rFonts w:cs="Arial"/>
          <w:szCs w:val="22"/>
          <w:lang w:val="en-NZ" w:eastAsia="en-NZ" w:bidi="ar-SA"/>
        </w:rPr>
        <w:t>at</w:t>
      </w:r>
      <w:r w:rsidRPr="003E1E93">
        <w:rPr>
          <w:rFonts w:cs="Arial"/>
          <w:szCs w:val="22"/>
          <w:lang w:val="en-NZ" w:eastAsia="en-NZ" w:bidi="ar-SA"/>
        </w:rPr>
        <w:t xml:space="preserve"> 4.2 g</w:t>
      </w:r>
      <w:r>
        <w:rPr>
          <w:rFonts w:cs="Arial"/>
          <w:szCs w:val="22"/>
          <w:lang w:val="en-NZ" w:eastAsia="en-NZ" w:bidi="ar-SA"/>
        </w:rPr>
        <w:t xml:space="preserve"> per day (1.9% of energy).</w:t>
      </w:r>
      <w:r>
        <w:rPr>
          <w:rStyle w:val="FootnoteReference"/>
          <w:rFonts w:cs="Arial"/>
          <w:szCs w:val="22"/>
          <w:lang w:val="en-NZ" w:eastAsia="en-NZ" w:bidi="ar-SA"/>
        </w:rPr>
        <w:footnoteReference w:id="10"/>
      </w:r>
    </w:p>
    <w:p w:rsidR="00B6254E" w:rsidRPr="00A645B1" w:rsidRDefault="00B6254E" w:rsidP="00B6254E">
      <w:pPr>
        <w:widowControl/>
        <w:spacing w:before="100" w:beforeAutospacing="1" w:after="100" w:afterAutospacing="1"/>
        <w:rPr>
          <w:rFonts w:cs="Arial"/>
          <w:szCs w:val="22"/>
          <w:lang w:val="en-NZ" w:eastAsia="en-NZ" w:bidi="ar-SA"/>
        </w:rPr>
      </w:pPr>
      <w:r>
        <w:rPr>
          <w:rFonts w:cs="Arial"/>
          <w:szCs w:val="22"/>
          <w:lang w:val="en-NZ" w:eastAsia="en-NZ" w:bidi="ar-SA"/>
        </w:rPr>
        <w:t xml:space="preserve">Although TFA intake was found to decrease overall since </w:t>
      </w:r>
      <w:r w:rsidRPr="003E1E93">
        <w:rPr>
          <w:rFonts w:cs="Arial"/>
          <w:szCs w:val="22"/>
          <w:lang w:val="en-NZ" w:eastAsia="en-NZ" w:bidi="ar-SA"/>
        </w:rPr>
        <w:t>2003</w:t>
      </w:r>
      <w:r>
        <w:rPr>
          <w:rFonts w:cs="Arial"/>
          <w:i/>
          <w:iCs/>
          <w:szCs w:val="22"/>
          <w:lang w:val="en-NZ" w:eastAsia="en-NZ" w:bidi="ar-SA"/>
        </w:rPr>
        <w:t xml:space="preserve"> </w:t>
      </w:r>
      <w:r>
        <w:rPr>
          <w:rFonts w:cs="Arial"/>
          <w:iCs/>
          <w:szCs w:val="22"/>
          <w:lang w:val="en-NZ" w:eastAsia="en-NZ" w:bidi="ar-SA"/>
        </w:rPr>
        <w:t xml:space="preserve">it is considered that </w:t>
      </w:r>
      <w:r w:rsidRPr="003E1E93">
        <w:rPr>
          <w:rFonts w:cs="Arial"/>
          <w:szCs w:val="22"/>
          <w:lang w:val="en-NZ" w:eastAsia="en-NZ" w:bidi="ar-SA"/>
        </w:rPr>
        <w:t xml:space="preserve">individuals with certain dietary habits may still consume high levels of </w:t>
      </w:r>
      <w:r w:rsidRPr="00A645B1">
        <w:rPr>
          <w:rFonts w:cs="Arial"/>
          <w:iCs/>
          <w:szCs w:val="22"/>
          <w:lang w:val="en-NZ" w:eastAsia="en-NZ" w:bidi="ar-SA"/>
        </w:rPr>
        <w:t>TFAs</w:t>
      </w:r>
      <w:r w:rsidRPr="003E1E93">
        <w:rPr>
          <w:rFonts w:cs="Arial"/>
          <w:szCs w:val="22"/>
          <w:lang w:val="en-NZ" w:eastAsia="en-NZ" w:bidi="ar-SA"/>
        </w:rPr>
        <w:t xml:space="preserve"> from certain brands or certa</w:t>
      </w:r>
      <w:r>
        <w:rPr>
          <w:rFonts w:cs="Arial"/>
          <w:szCs w:val="22"/>
          <w:lang w:val="en-NZ" w:eastAsia="en-NZ" w:bidi="ar-SA"/>
        </w:rPr>
        <w:t>in types of food products (e.g.</w:t>
      </w:r>
      <w:r w:rsidRPr="003E1E93">
        <w:rPr>
          <w:rFonts w:cs="Arial"/>
          <w:szCs w:val="22"/>
          <w:lang w:val="en-NZ" w:eastAsia="en-NZ" w:bidi="ar-SA"/>
        </w:rPr>
        <w:t xml:space="preserve"> refrigerated biscuits, ready-to-use frostings, certain brands of frozen pizzas, and certain brands of microwave popcorn)</w:t>
      </w:r>
      <w:r>
        <w:rPr>
          <w:rFonts w:cs="Arial"/>
          <w:szCs w:val="22"/>
          <w:lang w:val="en-NZ" w:eastAsia="en-NZ" w:bidi="ar-SA"/>
        </w:rPr>
        <w:t>. As noted above</w:t>
      </w:r>
      <w:r w:rsidRPr="003E1E93">
        <w:rPr>
          <w:rFonts w:cs="Arial"/>
          <w:szCs w:val="22"/>
          <w:lang w:val="en-NZ" w:eastAsia="en-NZ" w:bidi="ar-SA"/>
        </w:rPr>
        <w:t>, those consumers who consistently choose these products</w:t>
      </w:r>
      <w:r>
        <w:rPr>
          <w:rFonts w:cs="Arial"/>
          <w:szCs w:val="22"/>
          <w:lang w:val="en-NZ" w:eastAsia="en-NZ" w:bidi="ar-SA"/>
        </w:rPr>
        <w:t xml:space="preserve"> could have a </w:t>
      </w:r>
      <w:r w:rsidRPr="003E1E93">
        <w:rPr>
          <w:rFonts w:cs="Arial"/>
          <w:szCs w:val="22"/>
          <w:lang w:val="en-NZ" w:eastAsia="en-NZ" w:bidi="ar-SA"/>
        </w:rPr>
        <w:t xml:space="preserve">daily intake of added </w:t>
      </w:r>
      <w:r>
        <w:rPr>
          <w:rFonts w:cs="Arial"/>
          <w:iCs/>
          <w:szCs w:val="22"/>
          <w:lang w:val="en-NZ" w:eastAsia="en-NZ" w:bidi="ar-SA"/>
        </w:rPr>
        <w:t>TFAs</w:t>
      </w:r>
      <w:r w:rsidRPr="003E1E93">
        <w:rPr>
          <w:rFonts w:cs="Arial"/>
          <w:szCs w:val="22"/>
          <w:lang w:val="en-NZ" w:eastAsia="en-NZ" w:bidi="ar-SA"/>
        </w:rPr>
        <w:t xml:space="preserve"> approximately twice as high as that for the consumer who does not choose only the foods containing the highest levels of </w:t>
      </w:r>
      <w:r w:rsidRPr="00A645B1">
        <w:rPr>
          <w:rFonts w:cs="Arial"/>
          <w:iCs/>
          <w:szCs w:val="22"/>
          <w:lang w:val="en-NZ" w:eastAsia="en-NZ" w:bidi="ar-SA"/>
        </w:rPr>
        <w:t>TFAs</w:t>
      </w:r>
      <w:r>
        <w:rPr>
          <w:rFonts w:cs="Arial"/>
          <w:i/>
          <w:iCs/>
          <w:szCs w:val="22"/>
          <w:lang w:val="en-NZ" w:eastAsia="en-NZ" w:bidi="ar-SA"/>
        </w:rPr>
        <w:t xml:space="preserve"> </w:t>
      </w:r>
      <w:r>
        <w:rPr>
          <w:rFonts w:cs="Arial"/>
          <w:szCs w:val="22"/>
          <w:lang w:val="en-NZ" w:eastAsia="en-NZ" w:bidi="ar-SA"/>
        </w:rPr>
        <w:t xml:space="preserve">within a particular category. </w:t>
      </w:r>
      <w:proofErr w:type="spellStart"/>
      <w:r>
        <w:t>Remig</w:t>
      </w:r>
      <w:proofErr w:type="spellEnd"/>
      <w:r>
        <w:t xml:space="preserve"> et al. (2010) commented that it could be possible for an individual to consume significant quantities of TFAs while believing they have consumed no TFAs because foods with less than 0.5 g TFA per serving may be labelled as 0 g TFA or have no declaration (refer to Attachment 2).</w:t>
      </w:r>
    </w:p>
    <w:p w:rsidR="00B6254E" w:rsidRDefault="00B6254E" w:rsidP="00B6254E">
      <w:pPr>
        <w:rPr>
          <w:rFonts w:cs="Arial"/>
          <w:szCs w:val="22"/>
          <w:lang w:val="en-NZ" w:eastAsia="en-NZ" w:bidi="ar-SA"/>
        </w:rPr>
      </w:pPr>
      <w:r w:rsidRPr="008860B8">
        <w:t xml:space="preserve">In November 2013 the US Food and Drug Administration </w:t>
      </w:r>
      <w:r>
        <w:t xml:space="preserve">(USFDA) announced it had made a </w:t>
      </w:r>
      <w:r w:rsidRPr="008860B8">
        <w:t>preliminary determination t</w:t>
      </w:r>
      <w:r>
        <w:t>hat partially hydrogenated oils are no longer ‘</w:t>
      </w:r>
      <w:r w:rsidRPr="008860B8">
        <w:t xml:space="preserve">generally recognized </w:t>
      </w:r>
      <w:r>
        <w:t>as safe’ (GRAS)</w:t>
      </w:r>
      <w:r w:rsidRPr="008860B8">
        <w:t xml:space="preserve">. The FDA </w:t>
      </w:r>
      <w:r>
        <w:t>has consulted on the preliminary decision and is currently considering submissions.</w:t>
      </w:r>
      <w:r w:rsidRPr="00E7651E">
        <w:rPr>
          <w:rStyle w:val="FootnoteReference"/>
          <w:rFonts w:cs="Arial"/>
          <w:szCs w:val="22"/>
          <w:lang w:val="en-NZ" w:eastAsia="en-NZ" w:bidi="ar-SA"/>
        </w:rPr>
        <w:t xml:space="preserve"> </w:t>
      </w:r>
      <w:r w:rsidR="0030269A">
        <w:rPr>
          <w:rStyle w:val="FootnoteReference"/>
          <w:rFonts w:cs="Arial"/>
          <w:szCs w:val="22"/>
          <w:lang w:val="en-NZ" w:eastAsia="en-NZ" w:bidi="ar-SA"/>
        </w:rPr>
        <w:t>3</w:t>
      </w:r>
    </w:p>
    <w:p w:rsidR="00B6254E" w:rsidRPr="00147562" w:rsidRDefault="00B6254E" w:rsidP="00B6254E">
      <w:pPr>
        <w:rPr>
          <w:lang w:eastAsia="en-AU" w:bidi="ar-SA"/>
        </w:rPr>
      </w:pPr>
    </w:p>
    <w:p w:rsidR="00B6254E" w:rsidRDefault="00B6254E" w:rsidP="00B6254E">
      <w:pPr>
        <w:rPr>
          <w:b/>
        </w:rPr>
      </w:pPr>
      <w:r w:rsidRPr="00B6254E">
        <w:rPr>
          <w:b/>
        </w:rPr>
        <w:t>3.4.3</w:t>
      </w:r>
      <w:r w:rsidRPr="00B6254E">
        <w:rPr>
          <w:b/>
        </w:rPr>
        <w:tab/>
        <w:t>European Union (EU)</w:t>
      </w:r>
    </w:p>
    <w:p w:rsidR="00B6254E" w:rsidRPr="00B6254E" w:rsidRDefault="00B6254E" w:rsidP="00B6254E">
      <w:pPr>
        <w:rPr>
          <w:b/>
        </w:rPr>
      </w:pPr>
    </w:p>
    <w:p w:rsidR="00B6254E" w:rsidRDefault="00B6254E" w:rsidP="00B6254E">
      <w:pPr>
        <w:rPr>
          <w:lang w:bidi="ar-SA"/>
        </w:rPr>
      </w:pPr>
      <w:r>
        <w:rPr>
          <w:lang w:bidi="ar-SA"/>
        </w:rPr>
        <w:t xml:space="preserve">The European Commission is to complete a report on the presence of TFA in foods and in the overall diet of the EU population by 13 December 2014. The aim of the report is to </w:t>
      </w:r>
      <w:r w:rsidRPr="000A110C">
        <w:rPr>
          <w:i/>
          <w:lang w:bidi="ar-SA"/>
        </w:rPr>
        <w:t>assess the impact of appropriate means that could enable consumers</w:t>
      </w:r>
      <w:r>
        <w:rPr>
          <w:i/>
          <w:lang w:bidi="ar-SA"/>
        </w:rPr>
        <w:t xml:space="preserve"> to make healthier food and overall dietary choices or that could promote the provision of healthier food options to consumers, including among others, the provision of information on trans fats to consumers or restrictions on their use</w:t>
      </w:r>
      <w:r>
        <w:rPr>
          <w:lang w:bidi="ar-SA"/>
        </w:rPr>
        <w:t>.</w:t>
      </w:r>
      <w:r>
        <w:rPr>
          <w:rStyle w:val="FootnoteReference"/>
          <w:lang w:bidi="ar-SA"/>
        </w:rPr>
        <w:footnoteReference w:id="11"/>
      </w:r>
      <w:r>
        <w:rPr>
          <w:lang w:bidi="ar-SA"/>
        </w:rPr>
        <w:t xml:space="preserve"> A legislative proposal, which could include mandatory labelling or restrictions in the use of TFAs, may be included, if appropriate.</w:t>
      </w:r>
    </w:p>
    <w:p w:rsidR="00B6254E" w:rsidRDefault="00B6254E" w:rsidP="00B6254E">
      <w:pPr>
        <w:rPr>
          <w:b/>
          <w:bCs/>
          <w:lang w:eastAsia="en-AU" w:bidi="ar-SA"/>
        </w:rPr>
      </w:pPr>
    </w:p>
    <w:p w:rsidR="00B6254E" w:rsidRDefault="00B6254E" w:rsidP="00B6254E">
      <w:pPr>
        <w:rPr>
          <w:lang w:bidi="ar-SA"/>
        </w:rPr>
      </w:pPr>
      <w:r>
        <w:rPr>
          <w:lang w:bidi="ar-SA"/>
        </w:rPr>
        <w:t xml:space="preserve">Estimates of mean TFA intake in Denmark were around 1 g per day in 1996. The Danish Nutrition Council was concerned with subgroups of the population with a higher than average intake of over 5 g TFAs per day as intakes above this level were found to be </w:t>
      </w:r>
      <w:r>
        <w:rPr>
          <w:lang w:bidi="ar-SA"/>
        </w:rPr>
        <w:lastRenderedPageBreak/>
        <w:t xml:space="preserve">associated with an increased risk of coronary heart disease (Willett et al., 1993, </w:t>
      </w:r>
      <w:proofErr w:type="spellStart"/>
      <w:r>
        <w:rPr>
          <w:lang w:bidi="ar-SA"/>
        </w:rPr>
        <w:t>L’Abbe</w:t>
      </w:r>
      <w:proofErr w:type="spellEnd"/>
      <w:r>
        <w:rPr>
          <w:lang w:bidi="ar-SA"/>
        </w:rPr>
        <w:t xml:space="preserve"> et al. 2009). I</w:t>
      </w:r>
      <w:r w:rsidRPr="00E7651E">
        <w:rPr>
          <w:lang w:bidi="ar-SA"/>
        </w:rPr>
        <w:t>n 2003, the Danish Nutrition Counc</w:t>
      </w:r>
      <w:r>
        <w:rPr>
          <w:lang w:bidi="ar-SA"/>
        </w:rPr>
        <w:t xml:space="preserve">il recommended restrictions on </w:t>
      </w:r>
      <w:r w:rsidRPr="00E7651E">
        <w:rPr>
          <w:lang w:bidi="ar-SA"/>
        </w:rPr>
        <w:t>the</w:t>
      </w:r>
      <w:r>
        <w:rPr>
          <w:lang w:bidi="ar-SA"/>
        </w:rPr>
        <w:t xml:space="preserve"> </w:t>
      </w:r>
      <w:r w:rsidRPr="00E7651E">
        <w:rPr>
          <w:lang w:bidi="ar-SA"/>
        </w:rPr>
        <w:t>use of manufactured TFA</w:t>
      </w:r>
      <w:r>
        <w:rPr>
          <w:lang w:bidi="ar-SA"/>
        </w:rPr>
        <w:t>s</w:t>
      </w:r>
      <w:r w:rsidRPr="00E7651E">
        <w:rPr>
          <w:lang w:bidi="ar-SA"/>
        </w:rPr>
        <w:t xml:space="preserve"> in foods. </w:t>
      </w:r>
      <w:r>
        <w:rPr>
          <w:lang w:bidi="ar-SA"/>
        </w:rPr>
        <w:t>Legislation was enacted limiting all food products</w:t>
      </w:r>
      <w:r w:rsidRPr="00E7651E">
        <w:rPr>
          <w:lang w:bidi="ar-SA"/>
        </w:rPr>
        <w:t xml:space="preserve"> to less than 2%</w:t>
      </w:r>
      <w:r>
        <w:rPr>
          <w:lang w:bidi="ar-SA"/>
        </w:rPr>
        <w:t xml:space="preserve"> </w:t>
      </w:r>
      <w:r w:rsidRPr="00E7651E">
        <w:rPr>
          <w:lang w:bidi="ar-SA"/>
        </w:rPr>
        <w:t xml:space="preserve">TFA </w:t>
      </w:r>
      <w:r>
        <w:rPr>
          <w:lang w:bidi="ar-SA"/>
        </w:rPr>
        <w:t>of total fa</w:t>
      </w:r>
      <w:r w:rsidRPr="00E7651E">
        <w:rPr>
          <w:lang w:bidi="ar-SA"/>
        </w:rPr>
        <w:t>t</w:t>
      </w:r>
      <w:r>
        <w:rPr>
          <w:lang w:bidi="ar-SA"/>
        </w:rPr>
        <w:t xml:space="preserve">. Finished products with less than 1 g TFAs/100 g of </w:t>
      </w:r>
      <w:r w:rsidR="007E6240">
        <w:rPr>
          <w:lang w:bidi="ar-SA"/>
        </w:rPr>
        <w:t>fat</w:t>
      </w:r>
      <w:r w:rsidRPr="00E7651E">
        <w:rPr>
          <w:lang w:bidi="ar-SA"/>
        </w:rPr>
        <w:t xml:space="preserve"> </w:t>
      </w:r>
      <w:r>
        <w:rPr>
          <w:lang w:bidi="ar-SA"/>
        </w:rPr>
        <w:t>are</w:t>
      </w:r>
      <w:r w:rsidRPr="00E7651E">
        <w:rPr>
          <w:lang w:bidi="ar-SA"/>
        </w:rPr>
        <w:t xml:space="preserve"> considered</w:t>
      </w:r>
      <w:r>
        <w:rPr>
          <w:lang w:bidi="ar-SA"/>
        </w:rPr>
        <w:t xml:space="preserve"> to be </w:t>
      </w:r>
      <w:r w:rsidRPr="00E7651E">
        <w:rPr>
          <w:lang w:bidi="ar-SA"/>
        </w:rPr>
        <w:t>free of TFA</w:t>
      </w:r>
      <w:r>
        <w:rPr>
          <w:lang w:bidi="ar-SA"/>
        </w:rPr>
        <w:t>s (Danish Veterinary and Food Administration 2003).</w:t>
      </w:r>
      <w:r w:rsidRPr="00E7651E">
        <w:rPr>
          <w:lang w:bidi="ar-SA"/>
        </w:rPr>
        <w:t xml:space="preserve"> The requirements do not apply to ruminant TFA</w:t>
      </w:r>
      <w:r>
        <w:rPr>
          <w:lang w:bidi="ar-SA"/>
        </w:rPr>
        <w:t>s</w:t>
      </w:r>
      <w:r w:rsidRPr="00E7651E">
        <w:rPr>
          <w:lang w:bidi="ar-SA"/>
        </w:rPr>
        <w:t>.</w:t>
      </w:r>
      <w:r>
        <w:rPr>
          <w:lang w:bidi="ar-SA"/>
        </w:rPr>
        <w:t xml:space="preserve"> There</w:t>
      </w:r>
      <w:r w:rsidRPr="00E7651E">
        <w:rPr>
          <w:lang w:bidi="ar-SA"/>
        </w:rPr>
        <w:t xml:space="preserve"> is no mandatory </w:t>
      </w:r>
      <w:r>
        <w:rPr>
          <w:lang w:bidi="ar-SA"/>
        </w:rPr>
        <w:t xml:space="preserve">requirement for </w:t>
      </w:r>
      <w:r w:rsidRPr="00E7651E">
        <w:rPr>
          <w:lang w:bidi="ar-SA"/>
        </w:rPr>
        <w:t>TFA</w:t>
      </w:r>
      <w:r>
        <w:rPr>
          <w:lang w:bidi="ar-SA"/>
        </w:rPr>
        <w:t xml:space="preserve"> declaration on food labels</w:t>
      </w:r>
      <w:r w:rsidRPr="00E7651E">
        <w:rPr>
          <w:lang w:bidi="ar-SA"/>
        </w:rPr>
        <w:t xml:space="preserve"> in Denmark.</w:t>
      </w:r>
      <w:r w:rsidR="00291135">
        <w:rPr>
          <w:lang w:bidi="ar-SA"/>
        </w:rPr>
        <w:t xml:space="preserve"> </w:t>
      </w:r>
      <w:r w:rsidR="00A6426D">
        <w:rPr>
          <w:lang w:bidi="ar-SA"/>
        </w:rPr>
        <w:t xml:space="preserve">Studies evaluating the impact of legislating limits on the TFA content of food </w:t>
      </w:r>
      <w:r w:rsidR="006029BD">
        <w:rPr>
          <w:lang w:bidi="ar-SA"/>
        </w:rPr>
        <w:t xml:space="preserve">in Denmark </w:t>
      </w:r>
      <w:r w:rsidR="00A6426D">
        <w:rPr>
          <w:lang w:bidi="ar-SA"/>
        </w:rPr>
        <w:t xml:space="preserve">suggested that </w:t>
      </w:r>
      <w:r w:rsidR="0022618E">
        <w:rPr>
          <w:lang w:bidi="ar-SA"/>
        </w:rPr>
        <w:t xml:space="preserve">manufactured </w:t>
      </w:r>
      <w:r w:rsidR="00A6426D">
        <w:rPr>
          <w:lang w:bidi="ar-SA"/>
        </w:rPr>
        <w:t>TFA intake was close to zero in 2006 (</w:t>
      </w:r>
      <w:proofErr w:type="spellStart"/>
      <w:r w:rsidR="00A6426D">
        <w:rPr>
          <w:lang w:bidi="ar-SA"/>
        </w:rPr>
        <w:t>L’Abbe</w:t>
      </w:r>
      <w:proofErr w:type="spellEnd"/>
      <w:r w:rsidR="00A6426D">
        <w:rPr>
          <w:lang w:bidi="ar-SA"/>
        </w:rPr>
        <w:t xml:space="preserve"> et al. 2009, Downs et al. 2013).</w:t>
      </w:r>
    </w:p>
    <w:p w:rsidR="00A6426D" w:rsidRDefault="00A6426D" w:rsidP="00B6254E"/>
    <w:p w:rsidR="00B6254E" w:rsidRDefault="00B6254E" w:rsidP="00B6254E">
      <w:r>
        <w:t xml:space="preserve">A voluntary approach has been undertaken to reduce the TFA content in foods in the UK. In 1994, the Committee on Medical Aspects of Food and Nutrition Policy (COMA) recommended average population TFA intakes should not exceed 2% of food energy (Department of Health 1994). In a review of this recommendation in 2007, </w:t>
      </w:r>
      <w:r w:rsidRPr="005A36DB">
        <w:t>the Scientific Advisory Committee on Nutrition (SACN)</w:t>
      </w:r>
      <w:r>
        <w:t xml:space="preserve"> endorsed the recommendation made in 1994 and agreed there was no firm scientific basis for revising the recommendation (</w:t>
      </w:r>
      <w:r w:rsidRPr="005A36DB">
        <w:t>Scientific Advisory Committee on Nutrition</w:t>
      </w:r>
      <w:r>
        <w:t xml:space="preserve"> 2007).</w:t>
      </w:r>
    </w:p>
    <w:p w:rsidR="00B6254E" w:rsidRDefault="00B6254E" w:rsidP="00B6254E"/>
    <w:p w:rsidR="00B6254E" w:rsidRDefault="00B6254E" w:rsidP="00B6254E">
      <w:r>
        <w:t>The UK Department of Health has established the Public Health Responsibility Deal</w:t>
      </w:r>
      <w:r>
        <w:rPr>
          <w:rStyle w:val="FootnoteReference"/>
        </w:rPr>
        <w:footnoteReference w:id="12"/>
      </w:r>
      <w:r>
        <w:t xml:space="preserve"> whereby businesses and organisations can commit to take action voluntarily to improve public health. In 2011, the Department of Health published pledges in a number of areas including TFA reduction. Businesses can sign up to one of two collective pledges about TFA as follows:</w:t>
      </w:r>
    </w:p>
    <w:p w:rsidR="00B6254E" w:rsidRDefault="00B6254E" w:rsidP="00B6254E"/>
    <w:p w:rsidR="00B6254E" w:rsidRPr="00460FCC" w:rsidRDefault="00B6254E" w:rsidP="00B6254E">
      <w:pPr>
        <w:pStyle w:val="FSBullet"/>
        <w:rPr>
          <w:i/>
          <w:lang w:val="en-US"/>
        </w:rPr>
      </w:pPr>
      <w:r w:rsidRPr="00460FCC">
        <w:rPr>
          <w:i/>
          <w:lang w:val="en-US"/>
        </w:rPr>
        <w:t xml:space="preserve">We do not use ingredients that contain artificial trans fats. </w:t>
      </w:r>
    </w:p>
    <w:p w:rsidR="00B6254E" w:rsidRPr="00460FCC" w:rsidRDefault="00B6254E" w:rsidP="00B6254E">
      <w:pPr>
        <w:rPr>
          <w:i/>
          <w:lang w:val="en-US"/>
        </w:rPr>
      </w:pPr>
    </w:p>
    <w:p w:rsidR="00B6254E" w:rsidRDefault="00B6254E" w:rsidP="00B6254E">
      <w:pPr>
        <w:pStyle w:val="FSBullet"/>
      </w:pPr>
      <w:r w:rsidRPr="00460FCC">
        <w:rPr>
          <w:i/>
          <w:lang w:val="en-US"/>
        </w:rPr>
        <w:t>We are working to remove artificial trans fats from our products within the next 12 months</w:t>
      </w:r>
      <w:r>
        <w:rPr>
          <w:lang w:val="en-US"/>
        </w:rPr>
        <w:t>.</w:t>
      </w:r>
    </w:p>
    <w:p w:rsidR="00B6254E" w:rsidRDefault="00B6254E" w:rsidP="00B6254E"/>
    <w:p w:rsidR="00B6254E" w:rsidRDefault="00B6254E" w:rsidP="00B6254E">
      <w:r>
        <w:t>As of May 2014, there were 91 signatories for the first pledge and 11 for the second pledge noted above.</w:t>
      </w:r>
    </w:p>
    <w:p w:rsidR="00B6254E" w:rsidRDefault="00B6254E" w:rsidP="00B6254E"/>
    <w:p w:rsidR="00650B01" w:rsidRDefault="00B6254E" w:rsidP="00B6254E">
      <w:r>
        <w:t xml:space="preserve">Using consumption data from the 2000/01 </w:t>
      </w:r>
      <w:r w:rsidRPr="00EC49FD">
        <w:t>National Diet and Nutrition Survey</w:t>
      </w:r>
      <w:r>
        <w:t xml:space="preserve"> along with updated TFA concentration data, TFA intake in 2007 was estimated to be 1% of dietary energy for all adults aged 19-64 years. A recent estimate of the mean TFA intake using 2010/2011 data is 0.6-0.7% of food energy for all age groups which reflects the decrease in TFA content of processed food over time (Bates et al. 2014, UK Department of Health 2013). The UK Dietary Reference Value for TFA intake is no more than 2% of dietary energy. As in other EU countries, there is no requirement for mandatory labelling of TFAs.</w:t>
      </w:r>
    </w:p>
    <w:p w:rsidR="00650B01" w:rsidRDefault="00650B01" w:rsidP="00825A7D"/>
    <w:p w:rsidR="00343949" w:rsidRDefault="00343949" w:rsidP="00825A7D">
      <w:pPr>
        <w:rPr>
          <w:lang w:bidi="ar-SA"/>
        </w:rPr>
        <w:sectPr w:rsidR="00343949" w:rsidSect="00B6254E">
          <w:footnotePr>
            <w:numRestart w:val="eachSect"/>
          </w:footnotePr>
          <w:pgSz w:w="11906" w:h="16838" w:code="9"/>
          <w:pgMar w:top="1440" w:right="1440" w:bottom="1440" w:left="1440" w:header="709" w:footer="709" w:gutter="0"/>
          <w:cols w:space="708"/>
          <w:docGrid w:linePitch="360"/>
        </w:sectPr>
      </w:pPr>
    </w:p>
    <w:p w:rsidR="00343949" w:rsidRDefault="00650B01" w:rsidP="00650B01">
      <w:pPr>
        <w:pStyle w:val="Heading2"/>
        <w:ind w:left="0" w:firstLine="0"/>
      </w:pPr>
      <w:bookmarkStart w:id="45" w:name="_Toc409699762"/>
      <w:r>
        <w:lastRenderedPageBreak/>
        <w:t>Attachment 2</w:t>
      </w:r>
      <w:r w:rsidR="00343949">
        <w:t xml:space="preserve">: </w:t>
      </w:r>
      <w:r w:rsidR="00343949" w:rsidRPr="00E9695A">
        <w:t xml:space="preserve">Requirements for labelling of </w:t>
      </w:r>
      <w:r w:rsidR="00343949" w:rsidRPr="00903916">
        <w:t>trans</w:t>
      </w:r>
      <w:r w:rsidR="00343949" w:rsidRPr="00E9695A">
        <w:t xml:space="preserve"> fatty acids in Australia/New Zealand, Canada, USA, EU</w:t>
      </w:r>
      <w:r w:rsidR="00343949">
        <w:t>, UK</w:t>
      </w:r>
      <w:r w:rsidR="00343949" w:rsidRPr="00E9695A">
        <w:t xml:space="preserve"> and from Codex Alimentarius</w:t>
      </w:r>
      <w:bookmarkEnd w:id="45"/>
    </w:p>
    <w:p w:rsidR="00343949" w:rsidRPr="00343949" w:rsidRDefault="00343949" w:rsidP="00343949">
      <w:r w:rsidRPr="007E173C">
        <w:rPr>
          <w:b/>
        </w:rPr>
        <w:t>Table 1</w:t>
      </w:r>
      <w:r w:rsidR="007E173C">
        <w:tab/>
      </w:r>
      <w:r>
        <w:t>Nutrition information panel or similar</w:t>
      </w:r>
      <w:r w:rsidRPr="00E56BA1">
        <w:rPr>
          <w:vertAlign w:val="superscript"/>
        </w:rPr>
        <w:t>1</w:t>
      </w:r>
    </w:p>
    <w:tbl>
      <w:tblPr>
        <w:tblStyle w:val="TableGrid"/>
        <w:tblW w:w="0" w:type="auto"/>
        <w:tblLook w:val="04A0" w:firstRow="1" w:lastRow="0" w:firstColumn="1" w:lastColumn="0" w:noHBand="0" w:noVBand="1"/>
      </w:tblPr>
      <w:tblGrid>
        <w:gridCol w:w="2551"/>
        <w:gridCol w:w="2551"/>
        <w:gridCol w:w="2551"/>
        <w:gridCol w:w="2551"/>
        <w:gridCol w:w="2551"/>
      </w:tblGrid>
      <w:tr w:rsidR="006029BD" w:rsidRPr="00121FA3" w:rsidTr="006A2402">
        <w:tc>
          <w:tcPr>
            <w:tcW w:w="2551" w:type="dxa"/>
            <w:shd w:val="clear" w:color="auto" w:fill="D9D9D9" w:themeFill="background1" w:themeFillShade="D9"/>
          </w:tcPr>
          <w:p w:rsidR="006029BD" w:rsidRPr="00121FA3" w:rsidRDefault="006029BD" w:rsidP="006A1E0A">
            <w:pPr>
              <w:rPr>
                <w:rFonts w:cs="Arial"/>
                <w:sz w:val="18"/>
                <w:szCs w:val="18"/>
              </w:rPr>
            </w:pPr>
            <w:r w:rsidRPr="00121FA3">
              <w:rPr>
                <w:rFonts w:cs="Arial"/>
                <w:sz w:val="18"/>
                <w:szCs w:val="18"/>
              </w:rPr>
              <w:t>Australia/New Zealand</w:t>
            </w:r>
            <w:r>
              <w:rPr>
                <w:rFonts w:cs="Arial"/>
                <w:sz w:val="18"/>
                <w:szCs w:val="18"/>
                <w:vertAlign w:val="superscript"/>
              </w:rPr>
              <w:t>2</w:t>
            </w:r>
          </w:p>
        </w:tc>
        <w:tc>
          <w:tcPr>
            <w:tcW w:w="2551" w:type="dxa"/>
            <w:shd w:val="clear" w:color="auto" w:fill="D9D9D9" w:themeFill="background1" w:themeFillShade="D9"/>
          </w:tcPr>
          <w:p w:rsidR="006029BD" w:rsidRPr="00121FA3" w:rsidRDefault="006029BD" w:rsidP="006A1E0A">
            <w:pPr>
              <w:rPr>
                <w:rFonts w:cs="Arial"/>
                <w:sz w:val="18"/>
                <w:szCs w:val="18"/>
              </w:rPr>
            </w:pPr>
            <w:r w:rsidRPr="00121FA3">
              <w:rPr>
                <w:rFonts w:cs="Arial"/>
                <w:sz w:val="18"/>
                <w:szCs w:val="18"/>
              </w:rPr>
              <w:t>Canada</w:t>
            </w:r>
            <w:r>
              <w:rPr>
                <w:rFonts w:cs="Arial"/>
                <w:sz w:val="18"/>
                <w:szCs w:val="18"/>
                <w:vertAlign w:val="superscript"/>
              </w:rPr>
              <w:t>3</w:t>
            </w:r>
          </w:p>
        </w:tc>
        <w:tc>
          <w:tcPr>
            <w:tcW w:w="2551" w:type="dxa"/>
            <w:shd w:val="clear" w:color="auto" w:fill="D9D9D9" w:themeFill="background1" w:themeFillShade="D9"/>
          </w:tcPr>
          <w:p w:rsidR="006029BD" w:rsidRPr="00121FA3" w:rsidRDefault="006029BD" w:rsidP="006A1E0A">
            <w:pPr>
              <w:rPr>
                <w:rFonts w:cs="Arial"/>
                <w:sz w:val="18"/>
                <w:szCs w:val="18"/>
              </w:rPr>
            </w:pPr>
            <w:r w:rsidRPr="00121FA3">
              <w:rPr>
                <w:rFonts w:cs="Arial"/>
                <w:sz w:val="18"/>
                <w:szCs w:val="18"/>
              </w:rPr>
              <w:t>USA</w:t>
            </w:r>
            <w:r>
              <w:rPr>
                <w:rFonts w:cs="Arial"/>
                <w:sz w:val="18"/>
                <w:szCs w:val="18"/>
                <w:vertAlign w:val="superscript"/>
              </w:rPr>
              <w:t>4</w:t>
            </w:r>
          </w:p>
        </w:tc>
        <w:tc>
          <w:tcPr>
            <w:tcW w:w="2551" w:type="dxa"/>
            <w:shd w:val="clear" w:color="auto" w:fill="D9D9D9" w:themeFill="background1" w:themeFillShade="D9"/>
          </w:tcPr>
          <w:p w:rsidR="006029BD" w:rsidRPr="00121FA3" w:rsidRDefault="006029BD" w:rsidP="006A1E0A">
            <w:pPr>
              <w:rPr>
                <w:rFonts w:cs="Arial"/>
                <w:sz w:val="18"/>
                <w:szCs w:val="18"/>
              </w:rPr>
            </w:pPr>
            <w:r>
              <w:rPr>
                <w:rFonts w:cs="Arial"/>
                <w:sz w:val="18"/>
                <w:szCs w:val="18"/>
              </w:rPr>
              <w:t xml:space="preserve">EU including </w:t>
            </w:r>
            <w:r w:rsidR="00291135">
              <w:rPr>
                <w:rFonts w:cs="Arial"/>
                <w:sz w:val="18"/>
                <w:szCs w:val="18"/>
              </w:rPr>
              <w:t xml:space="preserve">the </w:t>
            </w:r>
            <w:r>
              <w:rPr>
                <w:rFonts w:cs="Arial"/>
                <w:sz w:val="18"/>
                <w:szCs w:val="18"/>
              </w:rPr>
              <w:t>UK</w:t>
            </w:r>
            <w:r>
              <w:rPr>
                <w:rFonts w:cs="Arial"/>
                <w:sz w:val="18"/>
                <w:szCs w:val="18"/>
                <w:vertAlign w:val="superscript"/>
              </w:rPr>
              <w:t>5, 6</w:t>
            </w:r>
          </w:p>
        </w:tc>
        <w:tc>
          <w:tcPr>
            <w:tcW w:w="2551" w:type="dxa"/>
            <w:shd w:val="clear" w:color="auto" w:fill="D9D9D9" w:themeFill="background1" w:themeFillShade="D9"/>
          </w:tcPr>
          <w:p w:rsidR="006029BD" w:rsidRPr="00121FA3" w:rsidRDefault="006029BD" w:rsidP="006A1E0A">
            <w:pPr>
              <w:rPr>
                <w:rFonts w:cs="Arial"/>
                <w:sz w:val="18"/>
                <w:szCs w:val="18"/>
              </w:rPr>
            </w:pPr>
            <w:r w:rsidRPr="00121FA3">
              <w:rPr>
                <w:rFonts w:cs="Arial"/>
                <w:sz w:val="18"/>
                <w:szCs w:val="18"/>
              </w:rPr>
              <w:t>Codex</w:t>
            </w:r>
          </w:p>
          <w:p w:rsidR="006029BD" w:rsidRPr="00121FA3" w:rsidRDefault="006029BD" w:rsidP="006A1E0A">
            <w:pPr>
              <w:rPr>
                <w:rFonts w:cs="Arial"/>
                <w:sz w:val="18"/>
                <w:szCs w:val="18"/>
              </w:rPr>
            </w:pPr>
            <w:r w:rsidRPr="00121FA3">
              <w:rPr>
                <w:rFonts w:cs="Arial"/>
                <w:sz w:val="18"/>
                <w:szCs w:val="18"/>
              </w:rPr>
              <w:t>Guidelines for Nutrition Labelling</w:t>
            </w:r>
            <w:r>
              <w:rPr>
                <w:rFonts w:cs="Arial"/>
                <w:sz w:val="18"/>
                <w:szCs w:val="18"/>
                <w:vertAlign w:val="superscript"/>
              </w:rPr>
              <w:t>7</w:t>
            </w:r>
          </w:p>
        </w:tc>
      </w:tr>
      <w:tr w:rsidR="006029BD" w:rsidTr="006A2402">
        <w:tc>
          <w:tcPr>
            <w:tcW w:w="2551" w:type="dxa"/>
          </w:tcPr>
          <w:p w:rsidR="006029BD" w:rsidRPr="00121FA3" w:rsidRDefault="006029BD" w:rsidP="006A1E0A">
            <w:pPr>
              <w:rPr>
                <w:rFonts w:cs="Arial"/>
                <w:sz w:val="18"/>
                <w:szCs w:val="18"/>
              </w:rPr>
            </w:pPr>
            <w:r w:rsidRPr="00121FA3">
              <w:rPr>
                <w:rFonts w:cs="Arial"/>
                <w:sz w:val="18"/>
                <w:szCs w:val="18"/>
              </w:rPr>
              <w:t xml:space="preserve">Voluntary declarations of TFA content permitted. </w:t>
            </w:r>
          </w:p>
          <w:p w:rsidR="006029BD" w:rsidRPr="00121FA3" w:rsidRDefault="006029BD" w:rsidP="006A1E0A">
            <w:pPr>
              <w:rPr>
                <w:rFonts w:cs="Arial"/>
                <w:sz w:val="18"/>
                <w:szCs w:val="18"/>
              </w:rPr>
            </w:pPr>
          </w:p>
          <w:p w:rsidR="006029BD" w:rsidRPr="00121FA3" w:rsidRDefault="006029BD" w:rsidP="006A1E0A">
            <w:pPr>
              <w:rPr>
                <w:rFonts w:cs="Arial"/>
                <w:sz w:val="18"/>
                <w:szCs w:val="18"/>
              </w:rPr>
            </w:pPr>
            <w:r w:rsidRPr="00121FA3">
              <w:rPr>
                <w:rFonts w:cs="Arial"/>
                <w:sz w:val="18"/>
                <w:szCs w:val="18"/>
              </w:rPr>
              <w:t>Declaration mandatory in the nutrition information panel when nutrition content claims or health claims are made about cholesterol or saturated, trans, polyunsaturated, monounsaturated, omega-3, omega-6 or omega-9 fatty acids.</w:t>
            </w:r>
          </w:p>
        </w:tc>
        <w:tc>
          <w:tcPr>
            <w:tcW w:w="2551" w:type="dxa"/>
          </w:tcPr>
          <w:p w:rsidR="006029BD" w:rsidRPr="00121FA3" w:rsidRDefault="006029BD" w:rsidP="006A1E0A">
            <w:pPr>
              <w:rPr>
                <w:rFonts w:cs="Arial"/>
                <w:sz w:val="18"/>
                <w:szCs w:val="18"/>
              </w:rPr>
            </w:pPr>
            <w:r w:rsidRPr="00121FA3">
              <w:rPr>
                <w:rFonts w:cs="Arial"/>
                <w:sz w:val="18"/>
                <w:szCs w:val="18"/>
              </w:rPr>
              <w:t xml:space="preserve">TFA content must be declared in the Nutrition Facts Table. </w:t>
            </w:r>
          </w:p>
          <w:p w:rsidR="006029BD" w:rsidRPr="00121FA3" w:rsidRDefault="006029BD" w:rsidP="006A1E0A">
            <w:pPr>
              <w:rPr>
                <w:rFonts w:cs="Arial"/>
                <w:sz w:val="18"/>
                <w:szCs w:val="18"/>
              </w:rPr>
            </w:pPr>
          </w:p>
          <w:p w:rsidR="006029BD" w:rsidRPr="00121FA3" w:rsidRDefault="006029BD" w:rsidP="006A1E0A">
            <w:pPr>
              <w:rPr>
                <w:rFonts w:cs="Arial"/>
                <w:sz w:val="18"/>
                <w:szCs w:val="18"/>
              </w:rPr>
            </w:pPr>
            <w:r w:rsidRPr="00121FA3">
              <w:rPr>
                <w:rFonts w:cs="Arial"/>
                <w:sz w:val="18"/>
                <w:szCs w:val="18"/>
              </w:rPr>
              <w:t>Can be declared as zero if conditions for ‘free TFA’ claims are met (the amount is less than 0.2 g per serving and other compositional requirements)</w:t>
            </w:r>
            <w:r>
              <w:rPr>
                <w:rFonts w:cs="Arial"/>
                <w:sz w:val="18"/>
                <w:szCs w:val="18"/>
              </w:rPr>
              <w:t>.</w:t>
            </w:r>
          </w:p>
          <w:p w:rsidR="006029BD" w:rsidRPr="00121FA3" w:rsidRDefault="006029BD" w:rsidP="006A1E0A">
            <w:pPr>
              <w:rPr>
                <w:rFonts w:cs="Arial"/>
                <w:sz w:val="18"/>
                <w:szCs w:val="18"/>
              </w:rPr>
            </w:pPr>
          </w:p>
          <w:p w:rsidR="006029BD" w:rsidRPr="00121FA3" w:rsidRDefault="006029BD" w:rsidP="006A1E0A">
            <w:pPr>
              <w:rPr>
                <w:rFonts w:cs="Arial"/>
                <w:sz w:val="18"/>
                <w:szCs w:val="18"/>
              </w:rPr>
            </w:pPr>
            <w:r w:rsidRPr="00121FA3">
              <w:rPr>
                <w:rFonts w:cs="Arial"/>
                <w:sz w:val="18"/>
                <w:szCs w:val="18"/>
              </w:rPr>
              <w:t xml:space="preserve">The sum of </w:t>
            </w:r>
            <w:r>
              <w:rPr>
                <w:rFonts w:cs="Arial"/>
                <w:sz w:val="18"/>
                <w:szCs w:val="18"/>
              </w:rPr>
              <w:t>saturated fatty acids</w:t>
            </w:r>
            <w:r w:rsidRPr="00121FA3">
              <w:rPr>
                <w:rFonts w:cs="Arial"/>
                <w:sz w:val="18"/>
                <w:szCs w:val="18"/>
              </w:rPr>
              <w:t xml:space="preserve"> and TFAs, expressed as a percentage of the Daily Value, must also be declared in the Nutrition Facts Table. </w:t>
            </w:r>
          </w:p>
        </w:tc>
        <w:tc>
          <w:tcPr>
            <w:tcW w:w="2551" w:type="dxa"/>
          </w:tcPr>
          <w:p w:rsidR="006029BD" w:rsidRPr="00121FA3" w:rsidRDefault="006029BD" w:rsidP="006A1E0A">
            <w:pPr>
              <w:rPr>
                <w:rFonts w:cs="Arial"/>
                <w:sz w:val="18"/>
                <w:szCs w:val="18"/>
              </w:rPr>
            </w:pPr>
            <w:r w:rsidRPr="00121FA3">
              <w:rPr>
                <w:rFonts w:cs="Arial"/>
                <w:sz w:val="18"/>
                <w:szCs w:val="18"/>
              </w:rPr>
              <w:t xml:space="preserve">TFA content must be listed </w:t>
            </w:r>
            <w:r>
              <w:rPr>
                <w:rFonts w:cs="Arial"/>
                <w:sz w:val="18"/>
                <w:szCs w:val="18"/>
              </w:rPr>
              <w:t xml:space="preserve">in the Nutrition Facts panel. </w:t>
            </w:r>
            <w:r w:rsidRPr="00121FA3">
              <w:rPr>
                <w:rFonts w:cs="Arial"/>
                <w:sz w:val="18"/>
                <w:szCs w:val="18"/>
              </w:rPr>
              <w:t xml:space="preserve">%DV is not required. </w:t>
            </w:r>
          </w:p>
          <w:p w:rsidR="006029BD" w:rsidRPr="00121FA3" w:rsidRDefault="006029BD" w:rsidP="006A1E0A">
            <w:pPr>
              <w:rPr>
                <w:rFonts w:cs="Arial"/>
                <w:sz w:val="18"/>
                <w:szCs w:val="18"/>
              </w:rPr>
            </w:pPr>
          </w:p>
          <w:p w:rsidR="006029BD" w:rsidRPr="00121FA3" w:rsidRDefault="006029BD" w:rsidP="006A1E0A">
            <w:pPr>
              <w:rPr>
                <w:rFonts w:cs="Arial"/>
                <w:sz w:val="18"/>
                <w:szCs w:val="18"/>
              </w:rPr>
            </w:pPr>
            <w:r w:rsidRPr="00121FA3">
              <w:rPr>
                <w:rFonts w:cs="Arial"/>
                <w:sz w:val="18"/>
                <w:szCs w:val="18"/>
              </w:rPr>
              <w:t xml:space="preserve">If a serving contains less than 0.5 g, must be expressed as 0 g, or, if no claims are made about fat, fatty acid or cholesterol content, declaration of 0 g not required but instead, a footnote must be added stating that the food is ‘not a significant source of trans fat’. </w:t>
            </w:r>
          </w:p>
        </w:tc>
        <w:tc>
          <w:tcPr>
            <w:tcW w:w="2551" w:type="dxa"/>
          </w:tcPr>
          <w:p w:rsidR="006029BD" w:rsidRPr="00121FA3" w:rsidRDefault="006029BD" w:rsidP="006A1E0A">
            <w:pPr>
              <w:rPr>
                <w:rFonts w:cs="Arial"/>
                <w:sz w:val="18"/>
                <w:szCs w:val="18"/>
              </w:rPr>
            </w:pPr>
            <w:r w:rsidRPr="00121FA3">
              <w:rPr>
                <w:rFonts w:cs="Arial"/>
                <w:sz w:val="18"/>
                <w:szCs w:val="18"/>
              </w:rPr>
              <w:t>TFA content is not permitted to be declared on a label (unless a nutrition or health claim is made).</w:t>
            </w:r>
          </w:p>
          <w:p w:rsidR="006029BD" w:rsidRPr="00121FA3" w:rsidRDefault="006029BD" w:rsidP="006A1E0A">
            <w:pPr>
              <w:rPr>
                <w:rFonts w:cs="Arial"/>
                <w:sz w:val="18"/>
                <w:szCs w:val="18"/>
              </w:rPr>
            </w:pPr>
          </w:p>
        </w:tc>
        <w:tc>
          <w:tcPr>
            <w:tcW w:w="2551" w:type="dxa"/>
          </w:tcPr>
          <w:p w:rsidR="006029BD" w:rsidRPr="00121FA3" w:rsidRDefault="006029BD" w:rsidP="006A1E0A">
            <w:pPr>
              <w:rPr>
                <w:rFonts w:cs="Arial"/>
                <w:sz w:val="18"/>
                <w:szCs w:val="18"/>
              </w:rPr>
            </w:pPr>
            <w:r w:rsidRPr="00121FA3">
              <w:rPr>
                <w:rFonts w:cs="Arial"/>
                <w:sz w:val="18"/>
                <w:szCs w:val="18"/>
              </w:rPr>
              <w:t xml:space="preserve">Must be declared if a nutrition claim or health claim is made about TFA. </w:t>
            </w:r>
          </w:p>
          <w:p w:rsidR="006029BD" w:rsidRPr="00121FA3" w:rsidRDefault="006029BD" w:rsidP="006A1E0A">
            <w:pPr>
              <w:rPr>
                <w:rFonts w:cs="Arial"/>
                <w:sz w:val="18"/>
                <w:szCs w:val="18"/>
              </w:rPr>
            </w:pPr>
          </w:p>
          <w:p w:rsidR="006029BD" w:rsidRPr="00121FA3" w:rsidRDefault="006029BD" w:rsidP="006A1E0A">
            <w:pPr>
              <w:rPr>
                <w:rFonts w:cs="Arial"/>
                <w:sz w:val="18"/>
                <w:szCs w:val="18"/>
              </w:rPr>
            </w:pPr>
            <w:r w:rsidRPr="00121FA3">
              <w:rPr>
                <w:rFonts w:cs="Arial"/>
                <w:sz w:val="18"/>
                <w:szCs w:val="18"/>
              </w:rPr>
              <w:t xml:space="preserve">Where a claim is made regarding the amount and/or type of fatty acids or the amount of cholesterol, the amount of </w:t>
            </w:r>
            <w:r>
              <w:rPr>
                <w:rFonts w:cs="Arial"/>
                <w:sz w:val="18"/>
                <w:szCs w:val="18"/>
              </w:rPr>
              <w:t>TFAs</w:t>
            </w:r>
            <w:r w:rsidRPr="00121FA3">
              <w:rPr>
                <w:rFonts w:cs="Arial"/>
                <w:sz w:val="18"/>
                <w:szCs w:val="18"/>
              </w:rPr>
              <w:t xml:space="preserve"> may be required according to national legislation.</w:t>
            </w:r>
          </w:p>
        </w:tc>
      </w:tr>
    </w:tbl>
    <w:p w:rsidR="00343949" w:rsidRPr="00E56BA1" w:rsidRDefault="00343949" w:rsidP="00AC3F12">
      <w:pPr>
        <w:rPr>
          <w:rFonts w:cs="Arial"/>
          <w:sz w:val="18"/>
          <w:szCs w:val="18"/>
        </w:rPr>
      </w:pPr>
      <w:r w:rsidRPr="00E56BA1">
        <w:rPr>
          <w:rFonts w:cs="Arial"/>
          <w:sz w:val="18"/>
          <w:szCs w:val="18"/>
          <w:vertAlign w:val="superscript"/>
        </w:rPr>
        <w:t xml:space="preserve">1 </w:t>
      </w:r>
      <w:r w:rsidRPr="00E56BA1">
        <w:rPr>
          <w:rFonts w:cs="Arial"/>
          <w:sz w:val="18"/>
          <w:szCs w:val="18"/>
        </w:rPr>
        <w:t>Note that the definition of TFAs for labelling purposes various around the world</w:t>
      </w:r>
      <w:r w:rsidR="003A0193">
        <w:rPr>
          <w:rFonts w:cs="Arial"/>
          <w:sz w:val="18"/>
          <w:szCs w:val="18"/>
        </w:rPr>
        <w:t>. Refer to Appendix 1 in the FSANZ 2007 review (FSANZ 2007).</w:t>
      </w:r>
    </w:p>
    <w:p w:rsidR="00343949" w:rsidRPr="00E56BA1" w:rsidRDefault="00343949" w:rsidP="00AC3F12">
      <w:pPr>
        <w:rPr>
          <w:rFonts w:cs="Arial"/>
          <w:sz w:val="18"/>
          <w:szCs w:val="18"/>
        </w:rPr>
      </w:pPr>
      <w:r w:rsidRPr="00E56BA1">
        <w:rPr>
          <w:rFonts w:cs="Arial"/>
          <w:sz w:val="18"/>
          <w:szCs w:val="18"/>
          <w:vertAlign w:val="superscript"/>
        </w:rPr>
        <w:t>2</w:t>
      </w:r>
      <w:r w:rsidRPr="00E56BA1">
        <w:rPr>
          <w:rFonts w:cs="Arial"/>
          <w:sz w:val="18"/>
          <w:szCs w:val="18"/>
        </w:rPr>
        <w:t xml:space="preserve"> The </w:t>
      </w:r>
      <w:r w:rsidRPr="00E56BA1">
        <w:rPr>
          <w:rFonts w:cs="Arial"/>
          <w:i/>
          <w:sz w:val="18"/>
          <w:szCs w:val="18"/>
        </w:rPr>
        <w:t>Australia New Zealand Food Standards Code</w:t>
      </w:r>
      <w:r w:rsidRPr="00E56BA1">
        <w:rPr>
          <w:rFonts w:cs="Arial"/>
          <w:sz w:val="18"/>
          <w:szCs w:val="18"/>
        </w:rPr>
        <w:t xml:space="preserve"> is at </w:t>
      </w:r>
      <w:hyperlink r:id="rId32" w:history="1">
        <w:r w:rsidRPr="00E56BA1">
          <w:rPr>
            <w:rStyle w:val="Hyperlink"/>
            <w:rFonts w:cs="Arial"/>
            <w:sz w:val="18"/>
            <w:szCs w:val="18"/>
          </w:rPr>
          <w:t>http://www.foodstandards.gov.au/code/Pages/default.aspx</w:t>
        </w:r>
      </w:hyperlink>
      <w:r w:rsidRPr="00E56BA1">
        <w:rPr>
          <w:rFonts w:cs="Arial"/>
          <w:sz w:val="18"/>
          <w:szCs w:val="18"/>
        </w:rPr>
        <w:t>.</w:t>
      </w:r>
    </w:p>
    <w:p w:rsidR="00343949" w:rsidRPr="00E56BA1" w:rsidRDefault="00343949" w:rsidP="00AC3F12">
      <w:pPr>
        <w:rPr>
          <w:rFonts w:cs="Arial"/>
          <w:sz w:val="18"/>
          <w:szCs w:val="18"/>
        </w:rPr>
      </w:pPr>
      <w:r w:rsidRPr="00E56BA1">
        <w:rPr>
          <w:rFonts w:cs="Arial"/>
          <w:sz w:val="18"/>
          <w:szCs w:val="18"/>
          <w:vertAlign w:val="superscript"/>
        </w:rPr>
        <w:t>3</w:t>
      </w:r>
      <w:r w:rsidRPr="00E56BA1">
        <w:rPr>
          <w:rFonts w:cs="Arial"/>
          <w:sz w:val="18"/>
          <w:szCs w:val="18"/>
        </w:rPr>
        <w:t xml:space="preserve">The Canadian </w:t>
      </w:r>
      <w:r w:rsidRPr="00E56BA1">
        <w:rPr>
          <w:rFonts w:cs="Arial"/>
          <w:i/>
          <w:sz w:val="18"/>
          <w:szCs w:val="18"/>
        </w:rPr>
        <w:t>Food and Drug Regulations</w:t>
      </w:r>
      <w:r w:rsidRPr="00E56BA1">
        <w:rPr>
          <w:rFonts w:cs="Arial"/>
          <w:sz w:val="18"/>
          <w:szCs w:val="18"/>
        </w:rPr>
        <w:t xml:space="preserve"> are at </w:t>
      </w:r>
      <w:hyperlink r:id="rId33" w:history="1">
        <w:r w:rsidRPr="00E56BA1">
          <w:rPr>
            <w:rStyle w:val="Hyperlink"/>
            <w:rFonts w:cs="Arial"/>
            <w:sz w:val="18"/>
            <w:szCs w:val="18"/>
          </w:rPr>
          <w:t>http://laws-lois.justice.gc.ca/eng/regulations/C.R.C.%2C_c._870/</w:t>
        </w:r>
      </w:hyperlink>
      <w:r w:rsidRPr="00E56BA1">
        <w:rPr>
          <w:rFonts w:cs="Arial"/>
          <w:sz w:val="18"/>
          <w:szCs w:val="18"/>
        </w:rPr>
        <w:t>.</w:t>
      </w:r>
    </w:p>
    <w:p w:rsidR="00343949" w:rsidRPr="00E56BA1" w:rsidRDefault="00343949" w:rsidP="00AC3F12">
      <w:pPr>
        <w:rPr>
          <w:rFonts w:cs="Arial"/>
          <w:sz w:val="18"/>
          <w:szCs w:val="18"/>
        </w:rPr>
      </w:pPr>
      <w:r w:rsidRPr="00E56BA1">
        <w:rPr>
          <w:rFonts w:cs="Arial"/>
          <w:sz w:val="18"/>
          <w:szCs w:val="18"/>
          <w:vertAlign w:val="superscript"/>
        </w:rPr>
        <w:t xml:space="preserve">4 </w:t>
      </w:r>
      <w:r w:rsidRPr="00E56BA1">
        <w:rPr>
          <w:rFonts w:cs="Arial"/>
          <w:sz w:val="18"/>
          <w:szCs w:val="18"/>
        </w:rPr>
        <w:t xml:space="preserve">Title 21 – Food and Drugs from the </w:t>
      </w:r>
      <w:r>
        <w:rPr>
          <w:rFonts w:cs="Arial"/>
          <w:sz w:val="18"/>
          <w:szCs w:val="18"/>
        </w:rPr>
        <w:t xml:space="preserve">USA </w:t>
      </w:r>
      <w:r w:rsidRPr="00E56BA1">
        <w:rPr>
          <w:rFonts w:cs="Arial"/>
          <w:sz w:val="18"/>
          <w:szCs w:val="18"/>
        </w:rPr>
        <w:t xml:space="preserve">Food and Drug Administration is available at </w:t>
      </w:r>
      <w:hyperlink r:id="rId34" w:history="1">
        <w:r w:rsidRPr="00E56BA1">
          <w:rPr>
            <w:rStyle w:val="Hyperlink"/>
            <w:rFonts w:cs="Arial"/>
            <w:sz w:val="18"/>
            <w:szCs w:val="18"/>
          </w:rPr>
          <w:t>http://www.ecfr.gov/cgi-bin/text-idx?SID=50c7e808f8d7d041fe07e13453d53306&amp;c=ecfr&amp;tpl=/ecfrbrowse/Title21/21cfrv2_02.tpl</w:t>
        </w:r>
      </w:hyperlink>
      <w:r w:rsidRPr="00E56BA1">
        <w:rPr>
          <w:rFonts w:cs="Arial"/>
          <w:sz w:val="18"/>
          <w:szCs w:val="18"/>
        </w:rPr>
        <w:t xml:space="preserve">. A food labelling guide is available at </w:t>
      </w:r>
      <w:hyperlink r:id="rId35" w:history="1">
        <w:r w:rsidRPr="00E56BA1">
          <w:rPr>
            <w:rStyle w:val="Hyperlink"/>
            <w:rFonts w:cs="Arial"/>
            <w:sz w:val="18"/>
            <w:szCs w:val="18"/>
          </w:rPr>
          <w:t>http://www.fda.gov/Food/GuidanceRegulation/GuidanceDocumentsRegulatoryInformation/LabelingNutrition/ucm2006828.htm</w:t>
        </w:r>
      </w:hyperlink>
      <w:r w:rsidRPr="00E56BA1">
        <w:rPr>
          <w:rFonts w:cs="Arial"/>
          <w:sz w:val="18"/>
          <w:szCs w:val="18"/>
        </w:rPr>
        <w:t xml:space="preserve">. </w:t>
      </w:r>
    </w:p>
    <w:p w:rsidR="00343949" w:rsidRPr="00E56BA1" w:rsidRDefault="00343949" w:rsidP="00AC3F12">
      <w:pPr>
        <w:rPr>
          <w:rFonts w:cs="Arial"/>
          <w:sz w:val="18"/>
          <w:szCs w:val="18"/>
        </w:rPr>
      </w:pPr>
      <w:r w:rsidRPr="00E56BA1">
        <w:rPr>
          <w:rFonts w:cs="Arial"/>
          <w:sz w:val="18"/>
          <w:szCs w:val="18"/>
          <w:vertAlign w:val="superscript"/>
        </w:rPr>
        <w:t>5</w:t>
      </w:r>
      <w:r w:rsidRPr="00E56BA1">
        <w:rPr>
          <w:rFonts w:cs="Arial"/>
          <w:sz w:val="18"/>
          <w:szCs w:val="18"/>
        </w:rPr>
        <w:t xml:space="preserve"> In 2011 the EU released new regulations on the provision of food information to consumers (EU 1169/2011). These requirements become fully effective in December 2014 for foods with a nutrition information panel, and for all foods from December 2016. The nutrition information panel remains voluntary in the EU from December 2014 to December 2016. EU 1169/2011 is available at </w:t>
      </w:r>
      <w:hyperlink r:id="rId36" w:history="1">
        <w:r w:rsidRPr="00E56BA1">
          <w:rPr>
            <w:rStyle w:val="Hyperlink"/>
            <w:rFonts w:cs="Arial"/>
            <w:sz w:val="18"/>
            <w:szCs w:val="18"/>
          </w:rPr>
          <w:t>http://eur-lex.europa.eu/LexUriServ/LexUriServ.do?uri=OJ:L:2011:304:0018:0063:EN:PDF</w:t>
        </w:r>
      </w:hyperlink>
      <w:r w:rsidRPr="00E56BA1">
        <w:rPr>
          <w:rFonts w:cs="Arial"/>
          <w:sz w:val="18"/>
          <w:szCs w:val="18"/>
        </w:rPr>
        <w:t xml:space="preserve">. </w:t>
      </w:r>
    </w:p>
    <w:p w:rsidR="00343949" w:rsidRPr="00E56BA1" w:rsidRDefault="00343949" w:rsidP="00AC3F12">
      <w:pPr>
        <w:rPr>
          <w:rFonts w:cs="Arial"/>
          <w:sz w:val="18"/>
          <w:szCs w:val="18"/>
        </w:rPr>
      </w:pPr>
      <w:r w:rsidRPr="00E56BA1">
        <w:rPr>
          <w:rFonts w:cs="Arial"/>
          <w:sz w:val="18"/>
          <w:szCs w:val="18"/>
          <w:vertAlign w:val="superscript"/>
        </w:rPr>
        <w:t xml:space="preserve">6 </w:t>
      </w:r>
      <w:r w:rsidRPr="00E56BA1">
        <w:rPr>
          <w:rFonts w:cs="Arial"/>
          <w:sz w:val="18"/>
          <w:szCs w:val="18"/>
        </w:rPr>
        <w:t xml:space="preserve">A draft guidance document on labelling requirements is available at </w:t>
      </w:r>
      <w:hyperlink r:id="rId37" w:history="1">
        <w:r w:rsidRPr="00E56BA1">
          <w:rPr>
            <w:rStyle w:val="Hyperlink"/>
            <w:rFonts w:cs="Arial"/>
            <w:sz w:val="18"/>
            <w:szCs w:val="18"/>
          </w:rPr>
          <w:t>https://www.gov.uk/government/consultations/food-information-regulations-fir-2013</w:t>
        </w:r>
      </w:hyperlink>
      <w:r w:rsidRPr="00E56BA1">
        <w:rPr>
          <w:rFonts w:cs="Arial"/>
          <w:sz w:val="18"/>
          <w:szCs w:val="18"/>
        </w:rPr>
        <w:t xml:space="preserve">. The industry groups </w:t>
      </w:r>
      <w:proofErr w:type="spellStart"/>
      <w:r w:rsidRPr="00E56BA1">
        <w:rPr>
          <w:rFonts w:cs="Arial"/>
          <w:sz w:val="18"/>
          <w:szCs w:val="18"/>
        </w:rPr>
        <w:t>FoodDrinkEurope</w:t>
      </w:r>
      <w:proofErr w:type="spellEnd"/>
      <w:r w:rsidRPr="00E56BA1">
        <w:rPr>
          <w:rFonts w:cs="Arial"/>
          <w:sz w:val="18"/>
          <w:szCs w:val="18"/>
        </w:rPr>
        <w:t xml:space="preserve"> and </w:t>
      </w:r>
      <w:proofErr w:type="spellStart"/>
      <w:r w:rsidRPr="00E56BA1">
        <w:rPr>
          <w:rFonts w:cs="Arial"/>
          <w:sz w:val="18"/>
          <w:szCs w:val="18"/>
        </w:rPr>
        <w:t>EuroCommerce</w:t>
      </w:r>
      <w:proofErr w:type="spellEnd"/>
      <w:r w:rsidRPr="00E56BA1">
        <w:rPr>
          <w:rFonts w:cs="Arial"/>
          <w:sz w:val="18"/>
          <w:szCs w:val="18"/>
        </w:rPr>
        <w:t xml:space="preserve"> released a guidance document on EU 1169/2011 (Food Information for Consumers)  in September 2013. This document is available at </w:t>
      </w:r>
      <w:hyperlink r:id="rId38" w:history="1">
        <w:r w:rsidRPr="00E56BA1">
          <w:rPr>
            <w:rStyle w:val="Hyperlink"/>
            <w:rFonts w:cs="Arial"/>
            <w:sz w:val="18"/>
            <w:szCs w:val="18"/>
          </w:rPr>
          <w:t>http://www.fooddrinkeurope.eu/uploads/press-releases_documents/FDE_Guidance_WEB1.pdf</w:t>
        </w:r>
      </w:hyperlink>
      <w:r w:rsidRPr="00E56BA1">
        <w:rPr>
          <w:rFonts w:cs="Arial"/>
          <w:sz w:val="18"/>
          <w:szCs w:val="18"/>
        </w:rPr>
        <w:t xml:space="preserve">. </w:t>
      </w:r>
    </w:p>
    <w:p w:rsidR="00343949" w:rsidRPr="00B138FE" w:rsidRDefault="00343949" w:rsidP="00343949">
      <w:pPr>
        <w:spacing w:after="60"/>
        <w:rPr>
          <w:rFonts w:cs="Arial"/>
          <w:sz w:val="18"/>
          <w:szCs w:val="18"/>
        </w:rPr>
      </w:pPr>
      <w:r w:rsidRPr="00E56BA1">
        <w:rPr>
          <w:rFonts w:cs="Arial"/>
          <w:sz w:val="18"/>
          <w:szCs w:val="18"/>
          <w:vertAlign w:val="superscript"/>
        </w:rPr>
        <w:t>7</w:t>
      </w:r>
      <w:r w:rsidRPr="00E56BA1">
        <w:rPr>
          <w:rFonts w:cs="Arial"/>
          <w:sz w:val="18"/>
          <w:szCs w:val="18"/>
        </w:rPr>
        <w:t xml:space="preserve"> Codex guidelines are available at </w:t>
      </w:r>
      <w:hyperlink r:id="rId39" w:history="1">
        <w:r w:rsidRPr="00E56BA1">
          <w:rPr>
            <w:rStyle w:val="Hyperlink"/>
            <w:rFonts w:cs="Arial"/>
            <w:sz w:val="18"/>
            <w:szCs w:val="18"/>
          </w:rPr>
          <w:t>http://www.codexalimentarius.org/standards/list-of-standards/</w:t>
        </w:r>
      </w:hyperlink>
      <w:r>
        <w:rPr>
          <w:rFonts w:cs="Arial"/>
          <w:sz w:val="18"/>
          <w:szCs w:val="18"/>
        </w:rPr>
        <w:t xml:space="preserve">. </w:t>
      </w:r>
      <w:r>
        <w:rPr>
          <w:rFonts w:cs="Arial"/>
        </w:rPr>
        <w:br w:type="page"/>
      </w:r>
    </w:p>
    <w:p w:rsidR="00343949" w:rsidRDefault="007E173C" w:rsidP="00343949">
      <w:pPr>
        <w:rPr>
          <w:rFonts w:cs="Arial"/>
        </w:rPr>
      </w:pPr>
      <w:r w:rsidRPr="007E173C">
        <w:rPr>
          <w:rFonts w:cs="Arial"/>
          <w:b/>
        </w:rPr>
        <w:lastRenderedPageBreak/>
        <w:t>Table 2</w:t>
      </w:r>
      <w:r>
        <w:rPr>
          <w:rFonts w:cs="Arial"/>
        </w:rPr>
        <w:tab/>
      </w:r>
      <w:r w:rsidR="00343949">
        <w:rPr>
          <w:rFonts w:cs="Arial"/>
        </w:rPr>
        <w:t>Nutrition content claims</w:t>
      </w:r>
      <w:r w:rsidR="00343949" w:rsidRPr="00B138FE">
        <w:rPr>
          <w:rFonts w:cs="Arial"/>
          <w:vertAlign w:val="superscript"/>
        </w:rPr>
        <w:t>1</w:t>
      </w:r>
    </w:p>
    <w:tbl>
      <w:tblPr>
        <w:tblStyle w:val="TableGrid"/>
        <w:tblW w:w="0" w:type="auto"/>
        <w:tblLook w:val="04A0" w:firstRow="1" w:lastRow="0" w:firstColumn="1" w:lastColumn="0" w:noHBand="0" w:noVBand="1"/>
      </w:tblPr>
      <w:tblGrid>
        <w:gridCol w:w="2551"/>
        <w:gridCol w:w="2551"/>
        <w:gridCol w:w="2551"/>
        <w:gridCol w:w="2551"/>
        <w:gridCol w:w="2551"/>
      </w:tblGrid>
      <w:tr w:rsidR="006A2402" w:rsidRPr="00D407FD" w:rsidTr="006A2402">
        <w:tc>
          <w:tcPr>
            <w:tcW w:w="2551" w:type="dxa"/>
            <w:shd w:val="clear" w:color="auto" w:fill="D9D9D9" w:themeFill="background1" w:themeFillShade="D9"/>
          </w:tcPr>
          <w:p w:rsidR="006A2402" w:rsidRPr="00D407FD" w:rsidRDefault="006A2402" w:rsidP="006A1E0A">
            <w:pPr>
              <w:rPr>
                <w:rFonts w:cs="Arial"/>
                <w:sz w:val="18"/>
                <w:szCs w:val="18"/>
              </w:rPr>
            </w:pPr>
            <w:r w:rsidRPr="00D407FD">
              <w:rPr>
                <w:rFonts w:cs="Arial"/>
                <w:sz w:val="18"/>
                <w:szCs w:val="18"/>
              </w:rPr>
              <w:t>Australia/New Zealand</w:t>
            </w:r>
          </w:p>
        </w:tc>
        <w:tc>
          <w:tcPr>
            <w:tcW w:w="2551" w:type="dxa"/>
            <w:shd w:val="clear" w:color="auto" w:fill="D9D9D9" w:themeFill="background1" w:themeFillShade="D9"/>
          </w:tcPr>
          <w:p w:rsidR="006A2402" w:rsidRPr="00D407FD" w:rsidRDefault="006A2402" w:rsidP="006A1E0A">
            <w:pPr>
              <w:rPr>
                <w:rFonts w:cs="Arial"/>
                <w:sz w:val="18"/>
                <w:szCs w:val="18"/>
              </w:rPr>
            </w:pPr>
            <w:r w:rsidRPr="00D407FD">
              <w:rPr>
                <w:rFonts w:cs="Arial"/>
                <w:sz w:val="18"/>
                <w:szCs w:val="18"/>
              </w:rPr>
              <w:t>Canada</w:t>
            </w:r>
          </w:p>
        </w:tc>
        <w:tc>
          <w:tcPr>
            <w:tcW w:w="2551" w:type="dxa"/>
            <w:shd w:val="clear" w:color="auto" w:fill="D9D9D9" w:themeFill="background1" w:themeFillShade="D9"/>
          </w:tcPr>
          <w:p w:rsidR="006A2402" w:rsidRPr="00D407FD" w:rsidRDefault="006A2402" w:rsidP="006A1E0A">
            <w:pPr>
              <w:rPr>
                <w:rFonts w:cs="Arial"/>
                <w:sz w:val="18"/>
                <w:szCs w:val="18"/>
              </w:rPr>
            </w:pPr>
            <w:r w:rsidRPr="00D407FD">
              <w:rPr>
                <w:rFonts w:cs="Arial"/>
                <w:sz w:val="18"/>
                <w:szCs w:val="18"/>
              </w:rPr>
              <w:t>USA</w:t>
            </w:r>
          </w:p>
        </w:tc>
        <w:tc>
          <w:tcPr>
            <w:tcW w:w="2551" w:type="dxa"/>
            <w:shd w:val="clear" w:color="auto" w:fill="D9D9D9" w:themeFill="background1" w:themeFillShade="D9"/>
          </w:tcPr>
          <w:p w:rsidR="006A2402" w:rsidRPr="00D407FD" w:rsidRDefault="006A2402" w:rsidP="006A1E0A">
            <w:pPr>
              <w:rPr>
                <w:rFonts w:cs="Arial"/>
                <w:sz w:val="18"/>
                <w:szCs w:val="18"/>
              </w:rPr>
            </w:pPr>
            <w:r w:rsidRPr="00D407FD">
              <w:rPr>
                <w:rFonts w:cs="Arial"/>
                <w:sz w:val="18"/>
                <w:szCs w:val="18"/>
              </w:rPr>
              <w:t>EU</w:t>
            </w:r>
            <w:r>
              <w:rPr>
                <w:rFonts w:cs="Arial"/>
                <w:sz w:val="18"/>
                <w:szCs w:val="18"/>
              </w:rPr>
              <w:t xml:space="preserve"> including </w:t>
            </w:r>
            <w:r w:rsidR="00291135">
              <w:rPr>
                <w:rFonts w:cs="Arial"/>
                <w:sz w:val="18"/>
                <w:szCs w:val="18"/>
              </w:rPr>
              <w:t xml:space="preserve">the </w:t>
            </w:r>
            <w:r>
              <w:rPr>
                <w:rFonts w:cs="Arial"/>
                <w:sz w:val="18"/>
                <w:szCs w:val="18"/>
              </w:rPr>
              <w:t>UK</w:t>
            </w:r>
          </w:p>
        </w:tc>
        <w:tc>
          <w:tcPr>
            <w:tcW w:w="2551" w:type="dxa"/>
            <w:shd w:val="clear" w:color="auto" w:fill="D9D9D9" w:themeFill="background1" w:themeFillShade="D9"/>
          </w:tcPr>
          <w:p w:rsidR="006A2402" w:rsidRPr="00D407FD" w:rsidRDefault="006A2402" w:rsidP="006A1E0A">
            <w:pPr>
              <w:rPr>
                <w:rFonts w:cs="Arial"/>
                <w:sz w:val="18"/>
                <w:szCs w:val="18"/>
              </w:rPr>
            </w:pPr>
            <w:r w:rsidRPr="00D407FD">
              <w:rPr>
                <w:rFonts w:cs="Arial"/>
                <w:sz w:val="18"/>
                <w:szCs w:val="18"/>
              </w:rPr>
              <w:t xml:space="preserve">Codex </w:t>
            </w:r>
          </w:p>
          <w:p w:rsidR="006A2402" w:rsidRPr="00D407FD" w:rsidRDefault="006A2402" w:rsidP="006A1E0A">
            <w:pPr>
              <w:rPr>
                <w:rFonts w:cs="Arial"/>
                <w:sz w:val="18"/>
                <w:szCs w:val="18"/>
              </w:rPr>
            </w:pPr>
            <w:r w:rsidRPr="00D407FD">
              <w:rPr>
                <w:rFonts w:cs="Arial"/>
                <w:sz w:val="18"/>
                <w:szCs w:val="18"/>
              </w:rPr>
              <w:t xml:space="preserve">Guidelines for use of nutrition and health claims </w:t>
            </w:r>
          </w:p>
        </w:tc>
      </w:tr>
      <w:tr w:rsidR="006A2402" w:rsidTr="006A2402">
        <w:tc>
          <w:tcPr>
            <w:tcW w:w="2551" w:type="dxa"/>
          </w:tcPr>
          <w:p w:rsidR="006A2402" w:rsidRPr="00D407FD" w:rsidRDefault="006A2402" w:rsidP="006A1E0A">
            <w:pPr>
              <w:rPr>
                <w:rFonts w:cs="Arial"/>
                <w:sz w:val="18"/>
                <w:szCs w:val="18"/>
              </w:rPr>
            </w:pPr>
            <w:r w:rsidRPr="00D407FD">
              <w:rPr>
                <w:rFonts w:cs="Arial"/>
                <w:sz w:val="18"/>
                <w:szCs w:val="18"/>
              </w:rPr>
              <w:t xml:space="preserve">Claims permitted: </w:t>
            </w:r>
          </w:p>
          <w:p w:rsidR="006A2402" w:rsidRPr="00D407FD" w:rsidRDefault="006A2402" w:rsidP="006A1E0A">
            <w:pPr>
              <w:rPr>
                <w:rFonts w:cs="Arial"/>
                <w:sz w:val="18"/>
                <w:szCs w:val="18"/>
              </w:rPr>
            </w:pPr>
            <w:r w:rsidRPr="00D407FD">
              <w:rPr>
                <w:rFonts w:cs="Arial"/>
                <w:sz w:val="18"/>
                <w:szCs w:val="18"/>
              </w:rPr>
              <w:t>- ‘free’ (the food contains no detectable TFA and no more than 0.75g SFA per 100ml liquid food or 1.5 g SFA per 100 g solid food or no more than 28% SFA as proportion of total fatty acid content)</w:t>
            </w:r>
          </w:p>
          <w:p w:rsidR="006A2402" w:rsidRPr="00D407FD" w:rsidRDefault="006A2402" w:rsidP="006A1E0A">
            <w:pPr>
              <w:rPr>
                <w:rFonts w:cs="Arial"/>
                <w:sz w:val="18"/>
                <w:szCs w:val="18"/>
              </w:rPr>
            </w:pPr>
            <w:r w:rsidRPr="00D407FD">
              <w:rPr>
                <w:rFonts w:cs="Arial"/>
                <w:sz w:val="18"/>
                <w:szCs w:val="18"/>
              </w:rPr>
              <w:t>- reduced/light/lite (the food contains at least 25% less TFA than in the same quantity of reference food and no more SFA).</w:t>
            </w:r>
          </w:p>
          <w:p w:rsidR="006A2402" w:rsidRPr="00D407FD" w:rsidRDefault="006A2402" w:rsidP="006A1E0A">
            <w:pPr>
              <w:rPr>
                <w:rFonts w:cs="Arial"/>
                <w:sz w:val="18"/>
                <w:szCs w:val="18"/>
              </w:rPr>
            </w:pPr>
            <w:r w:rsidRPr="00D407FD">
              <w:rPr>
                <w:rFonts w:cs="Arial"/>
                <w:sz w:val="18"/>
                <w:szCs w:val="18"/>
              </w:rPr>
              <w:t xml:space="preserve"> </w:t>
            </w:r>
          </w:p>
          <w:p w:rsidR="006A2402" w:rsidRPr="00D407FD" w:rsidRDefault="006A2402" w:rsidP="006A1E0A">
            <w:pPr>
              <w:rPr>
                <w:rFonts w:cs="Arial"/>
                <w:sz w:val="18"/>
                <w:szCs w:val="18"/>
              </w:rPr>
            </w:pPr>
            <w:r w:rsidRPr="00D407FD">
              <w:rPr>
                <w:rFonts w:cs="Arial"/>
                <w:sz w:val="18"/>
                <w:szCs w:val="18"/>
              </w:rPr>
              <w:t xml:space="preserve">Other claims, e.g. ‘low’ not permitted.  </w:t>
            </w:r>
          </w:p>
          <w:p w:rsidR="006A2402" w:rsidRPr="00D407FD" w:rsidRDefault="006A2402" w:rsidP="006A1E0A">
            <w:pPr>
              <w:rPr>
                <w:rFonts w:cs="Arial"/>
                <w:sz w:val="18"/>
                <w:szCs w:val="18"/>
              </w:rPr>
            </w:pPr>
          </w:p>
        </w:tc>
        <w:tc>
          <w:tcPr>
            <w:tcW w:w="2551" w:type="dxa"/>
          </w:tcPr>
          <w:p w:rsidR="006A2402" w:rsidRPr="00D407FD" w:rsidRDefault="006A2402" w:rsidP="006A1E0A">
            <w:pPr>
              <w:rPr>
                <w:rFonts w:cs="Arial"/>
                <w:sz w:val="18"/>
                <w:szCs w:val="18"/>
              </w:rPr>
            </w:pPr>
            <w:r w:rsidRPr="00D407FD">
              <w:rPr>
                <w:rFonts w:cs="Arial"/>
                <w:sz w:val="18"/>
                <w:szCs w:val="18"/>
              </w:rPr>
              <w:t xml:space="preserve">Three claims permitted: </w:t>
            </w:r>
          </w:p>
          <w:p w:rsidR="006A2402" w:rsidRPr="00D407FD" w:rsidRDefault="006A2402" w:rsidP="006A1E0A">
            <w:pPr>
              <w:rPr>
                <w:rFonts w:cs="Arial"/>
                <w:sz w:val="18"/>
                <w:szCs w:val="18"/>
              </w:rPr>
            </w:pPr>
            <w:r w:rsidRPr="00D407FD">
              <w:rPr>
                <w:rFonts w:cs="Arial"/>
                <w:sz w:val="18"/>
                <w:szCs w:val="18"/>
              </w:rPr>
              <w:t>- ‘free’ (less than 0.2g TFA and 0.5 g SFA per reference amount and serving of stated size or 100g if the food is a pre-packaged meal)</w:t>
            </w:r>
          </w:p>
          <w:p w:rsidR="006A2402" w:rsidRPr="00D407FD" w:rsidRDefault="006A2402" w:rsidP="006A1E0A">
            <w:pPr>
              <w:rPr>
                <w:rFonts w:cs="Arial"/>
                <w:sz w:val="18"/>
                <w:szCs w:val="18"/>
              </w:rPr>
            </w:pPr>
            <w:r w:rsidRPr="00D407FD">
              <w:rPr>
                <w:rFonts w:cs="Arial"/>
                <w:sz w:val="18"/>
                <w:szCs w:val="18"/>
              </w:rPr>
              <w:t xml:space="preserve">- ‘reduced in’ TFA and ‘lower in’ TFA (both at least 25% less TFA than reference food). </w:t>
            </w:r>
          </w:p>
          <w:p w:rsidR="006A2402" w:rsidRPr="00D407FD" w:rsidRDefault="006A2402" w:rsidP="006A1E0A">
            <w:pPr>
              <w:rPr>
                <w:rFonts w:cs="Arial"/>
                <w:sz w:val="18"/>
                <w:szCs w:val="18"/>
              </w:rPr>
            </w:pPr>
          </w:p>
          <w:p w:rsidR="006A2402" w:rsidRPr="00D407FD" w:rsidRDefault="006A2402" w:rsidP="006A1E0A">
            <w:pPr>
              <w:rPr>
                <w:rFonts w:cs="Arial"/>
                <w:sz w:val="18"/>
                <w:szCs w:val="18"/>
              </w:rPr>
            </w:pPr>
            <w:r w:rsidRPr="00D407FD">
              <w:rPr>
                <w:rFonts w:cs="Arial"/>
                <w:sz w:val="18"/>
                <w:szCs w:val="18"/>
              </w:rPr>
              <w:t>Wording for these claims is prescribed.</w:t>
            </w:r>
          </w:p>
        </w:tc>
        <w:tc>
          <w:tcPr>
            <w:tcW w:w="2551" w:type="dxa"/>
          </w:tcPr>
          <w:p w:rsidR="006A2402" w:rsidRPr="00D407FD" w:rsidRDefault="006A2402" w:rsidP="006A1E0A">
            <w:pPr>
              <w:rPr>
                <w:rFonts w:cs="Arial"/>
                <w:sz w:val="18"/>
                <w:szCs w:val="18"/>
              </w:rPr>
            </w:pPr>
            <w:r w:rsidRPr="00D407FD">
              <w:rPr>
                <w:rFonts w:cs="Arial"/>
                <w:sz w:val="18"/>
                <w:szCs w:val="18"/>
              </w:rPr>
              <w:t>Nutrition content claims about TFAs are not permitted.</w:t>
            </w:r>
          </w:p>
        </w:tc>
        <w:tc>
          <w:tcPr>
            <w:tcW w:w="2551" w:type="dxa"/>
          </w:tcPr>
          <w:p w:rsidR="006A2402" w:rsidRPr="00D407FD" w:rsidRDefault="006A2402" w:rsidP="006A1E0A">
            <w:pPr>
              <w:rPr>
                <w:rFonts w:cs="Arial"/>
                <w:sz w:val="18"/>
                <w:szCs w:val="18"/>
              </w:rPr>
            </w:pPr>
            <w:r w:rsidRPr="00D407FD">
              <w:rPr>
                <w:rFonts w:cs="Arial"/>
                <w:sz w:val="18"/>
                <w:szCs w:val="18"/>
              </w:rPr>
              <w:t xml:space="preserve">Claims permitted: </w:t>
            </w:r>
          </w:p>
          <w:p w:rsidR="006A2402" w:rsidRPr="00D407FD" w:rsidRDefault="006A2402" w:rsidP="006A1E0A">
            <w:pPr>
              <w:rPr>
                <w:rFonts w:cs="Arial"/>
                <w:sz w:val="18"/>
                <w:szCs w:val="18"/>
              </w:rPr>
            </w:pPr>
            <w:r w:rsidRPr="00D407FD">
              <w:rPr>
                <w:rFonts w:cs="Arial"/>
                <w:sz w:val="18"/>
                <w:szCs w:val="18"/>
              </w:rPr>
              <w:t xml:space="preserve">- reduced/light/lite TFA (at least 30% reduction compared with similar product). </w:t>
            </w:r>
          </w:p>
        </w:tc>
        <w:tc>
          <w:tcPr>
            <w:tcW w:w="2551" w:type="dxa"/>
          </w:tcPr>
          <w:p w:rsidR="006A2402" w:rsidRPr="00D407FD" w:rsidRDefault="006A2402" w:rsidP="006A1E0A">
            <w:pPr>
              <w:rPr>
                <w:rFonts w:cs="Arial"/>
                <w:sz w:val="18"/>
                <w:szCs w:val="18"/>
              </w:rPr>
            </w:pPr>
            <w:r w:rsidRPr="00D407FD">
              <w:rPr>
                <w:rFonts w:cs="Arial"/>
                <w:sz w:val="18"/>
                <w:szCs w:val="18"/>
              </w:rPr>
              <w:t xml:space="preserve">Claims are permitted, no conditions specified. </w:t>
            </w:r>
          </w:p>
          <w:p w:rsidR="006A2402" w:rsidRPr="00D407FD" w:rsidRDefault="006A2402" w:rsidP="006A1E0A">
            <w:pPr>
              <w:rPr>
                <w:rFonts w:cs="Arial"/>
                <w:sz w:val="18"/>
                <w:szCs w:val="18"/>
              </w:rPr>
            </w:pPr>
          </w:p>
        </w:tc>
      </w:tr>
    </w:tbl>
    <w:p w:rsidR="00343949" w:rsidRPr="00B138FE" w:rsidRDefault="00343949" w:rsidP="00343949">
      <w:pPr>
        <w:rPr>
          <w:rFonts w:cs="Arial"/>
        </w:rPr>
      </w:pPr>
      <w:r w:rsidRPr="00B138FE">
        <w:rPr>
          <w:rFonts w:cs="Arial"/>
          <w:vertAlign w:val="superscript"/>
        </w:rPr>
        <w:t>1</w:t>
      </w:r>
      <w:r>
        <w:rPr>
          <w:rFonts w:cs="Arial"/>
        </w:rPr>
        <w:t xml:space="preserve"> </w:t>
      </w:r>
      <w:r w:rsidRPr="007E173C">
        <w:rPr>
          <w:rFonts w:cs="Arial"/>
          <w:i/>
          <w:sz w:val="18"/>
          <w:szCs w:val="18"/>
        </w:rPr>
        <w:t>Refer to footnotes under Table 1 for links to regulations and guidance documents</w:t>
      </w:r>
    </w:p>
    <w:p w:rsidR="00343949" w:rsidRDefault="00343949" w:rsidP="00343949">
      <w:pPr>
        <w:rPr>
          <w:rFonts w:cs="Arial"/>
        </w:rPr>
      </w:pPr>
      <w:r>
        <w:rPr>
          <w:rFonts w:cs="Arial"/>
        </w:rPr>
        <w:br w:type="page"/>
      </w:r>
    </w:p>
    <w:p w:rsidR="00343949" w:rsidRDefault="00343949" w:rsidP="00343949">
      <w:pPr>
        <w:rPr>
          <w:rFonts w:cs="Arial"/>
        </w:rPr>
      </w:pPr>
      <w:r w:rsidRPr="007E173C">
        <w:rPr>
          <w:rFonts w:cs="Arial"/>
          <w:b/>
        </w:rPr>
        <w:lastRenderedPageBreak/>
        <w:t>Table 3</w:t>
      </w:r>
      <w:r w:rsidR="007E173C">
        <w:rPr>
          <w:rFonts w:cs="Arial"/>
        </w:rPr>
        <w:tab/>
      </w:r>
      <w:r>
        <w:rPr>
          <w:rFonts w:cs="Arial"/>
        </w:rPr>
        <w:t>Ingredient labelling</w:t>
      </w:r>
      <w:r w:rsidRPr="00B138FE">
        <w:rPr>
          <w:rFonts w:cs="Arial"/>
          <w:vertAlign w:val="superscript"/>
        </w:rPr>
        <w:t>1</w:t>
      </w:r>
    </w:p>
    <w:tbl>
      <w:tblPr>
        <w:tblStyle w:val="TableGrid"/>
        <w:tblW w:w="0" w:type="auto"/>
        <w:tblLook w:val="04A0" w:firstRow="1" w:lastRow="0" w:firstColumn="1" w:lastColumn="0" w:noHBand="0" w:noVBand="1"/>
      </w:tblPr>
      <w:tblGrid>
        <w:gridCol w:w="2551"/>
        <w:gridCol w:w="2551"/>
        <w:gridCol w:w="2551"/>
        <w:gridCol w:w="2551"/>
        <w:gridCol w:w="2551"/>
      </w:tblGrid>
      <w:tr w:rsidR="009027B2" w:rsidRPr="00D407FD" w:rsidTr="009027B2">
        <w:tc>
          <w:tcPr>
            <w:tcW w:w="2551" w:type="dxa"/>
            <w:shd w:val="clear" w:color="auto" w:fill="D9D9D9" w:themeFill="background1" w:themeFillShade="D9"/>
          </w:tcPr>
          <w:p w:rsidR="009027B2" w:rsidRPr="00D407FD" w:rsidRDefault="009027B2" w:rsidP="006A1E0A">
            <w:pPr>
              <w:rPr>
                <w:rFonts w:cs="Arial"/>
                <w:sz w:val="18"/>
                <w:szCs w:val="18"/>
              </w:rPr>
            </w:pPr>
            <w:r w:rsidRPr="00D407FD">
              <w:rPr>
                <w:rFonts w:cs="Arial"/>
                <w:sz w:val="18"/>
                <w:szCs w:val="18"/>
              </w:rPr>
              <w:t>Australia/New Zealand</w:t>
            </w:r>
          </w:p>
        </w:tc>
        <w:tc>
          <w:tcPr>
            <w:tcW w:w="2551" w:type="dxa"/>
            <w:shd w:val="clear" w:color="auto" w:fill="D9D9D9" w:themeFill="background1" w:themeFillShade="D9"/>
          </w:tcPr>
          <w:p w:rsidR="009027B2" w:rsidRPr="00D407FD" w:rsidRDefault="009027B2" w:rsidP="006A1E0A">
            <w:pPr>
              <w:rPr>
                <w:rFonts w:cs="Arial"/>
                <w:sz w:val="18"/>
                <w:szCs w:val="18"/>
              </w:rPr>
            </w:pPr>
            <w:r w:rsidRPr="00D407FD">
              <w:rPr>
                <w:rFonts w:cs="Arial"/>
                <w:sz w:val="18"/>
                <w:szCs w:val="18"/>
              </w:rPr>
              <w:t>Canada</w:t>
            </w:r>
          </w:p>
        </w:tc>
        <w:tc>
          <w:tcPr>
            <w:tcW w:w="2551" w:type="dxa"/>
            <w:shd w:val="clear" w:color="auto" w:fill="D9D9D9" w:themeFill="background1" w:themeFillShade="D9"/>
          </w:tcPr>
          <w:p w:rsidR="009027B2" w:rsidRPr="00D407FD" w:rsidRDefault="009027B2" w:rsidP="006A1E0A">
            <w:pPr>
              <w:rPr>
                <w:rFonts w:cs="Arial"/>
                <w:sz w:val="18"/>
                <w:szCs w:val="18"/>
              </w:rPr>
            </w:pPr>
            <w:r w:rsidRPr="00D407FD">
              <w:rPr>
                <w:rFonts w:cs="Arial"/>
                <w:sz w:val="18"/>
                <w:szCs w:val="18"/>
              </w:rPr>
              <w:t>USA</w:t>
            </w:r>
          </w:p>
        </w:tc>
        <w:tc>
          <w:tcPr>
            <w:tcW w:w="2551" w:type="dxa"/>
            <w:shd w:val="clear" w:color="auto" w:fill="D9D9D9" w:themeFill="background1" w:themeFillShade="D9"/>
          </w:tcPr>
          <w:p w:rsidR="009027B2" w:rsidRPr="00D407FD" w:rsidRDefault="009027B2" w:rsidP="006A1E0A">
            <w:pPr>
              <w:rPr>
                <w:rFonts w:cs="Arial"/>
                <w:sz w:val="18"/>
                <w:szCs w:val="18"/>
              </w:rPr>
            </w:pPr>
            <w:r w:rsidRPr="00D407FD">
              <w:rPr>
                <w:rFonts w:cs="Arial"/>
                <w:sz w:val="18"/>
                <w:szCs w:val="18"/>
              </w:rPr>
              <w:t>EU</w:t>
            </w:r>
            <w:r>
              <w:rPr>
                <w:rFonts w:cs="Arial"/>
                <w:sz w:val="18"/>
                <w:szCs w:val="18"/>
              </w:rPr>
              <w:t xml:space="preserve"> including </w:t>
            </w:r>
            <w:r w:rsidR="00291135">
              <w:rPr>
                <w:rFonts w:cs="Arial"/>
                <w:sz w:val="18"/>
                <w:szCs w:val="18"/>
              </w:rPr>
              <w:t xml:space="preserve">the </w:t>
            </w:r>
            <w:r>
              <w:rPr>
                <w:rFonts w:cs="Arial"/>
                <w:sz w:val="18"/>
                <w:szCs w:val="18"/>
              </w:rPr>
              <w:t>UK</w:t>
            </w:r>
          </w:p>
        </w:tc>
        <w:tc>
          <w:tcPr>
            <w:tcW w:w="2551" w:type="dxa"/>
            <w:shd w:val="clear" w:color="auto" w:fill="D9D9D9" w:themeFill="background1" w:themeFillShade="D9"/>
          </w:tcPr>
          <w:p w:rsidR="009027B2" w:rsidRPr="00D407FD" w:rsidRDefault="009027B2" w:rsidP="006A1E0A">
            <w:pPr>
              <w:rPr>
                <w:rFonts w:cs="Arial"/>
                <w:sz w:val="18"/>
                <w:szCs w:val="18"/>
              </w:rPr>
            </w:pPr>
            <w:r w:rsidRPr="00D407FD">
              <w:rPr>
                <w:rFonts w:cs="Arial"/>
                <w:sz w:val="18"/>
                <w:szCs w:val="18"/>
              </w:rPr>
              <w:t xml:space="preserve">Codex </w:t>
            </w:r>
          </w:p>
          <w:p w:rsidR="009027B2" w:rsidRPr="00D407FD" w:rsidRDefault="009027B2" w:rsidP="006A1E0A">
            <w:pPr>
              <w:rPr>
                <w:rFonts w:cs="Arial"/>
                <w:sz w:val="18"/>
                <w:szCs w:val="18"/>
              </w:rPr>
            </w:pPr>
            <w:r w:rsidRPr="00D407FD">
              <w:rPr>
                <w:rFonts w:cs="Arial"/>
                <w:sz w:val="18"/>
                <w:szCs w:val="18"/>
              </w:rPr>
              <w:t>General Standard for the Labelling of Pre</w:t>
            </w:r>
            <w:r>
              <w:rPr>
                <w:rFonts w:cs="Arial"/>
                <w:sz w:val="18"/>
                <w:szCs w:val="18"/>
              </w:rPr>
              <w:t>-</w:t>
            </w:r>
            <w:r w:rsidRPr="00D407FD">
              <w:rPr>
                <w:rFonts w:cs="Arial"/>
                <w:sz w:val="18"/>
                <w:szCs w:val="18"/>
              </w:rPr>
              <w:t>packaged Foods</w:t>
            </w:r>
          </w:p>
        </w:tc>
      </w:tr>
      <w:tr w:rsidR="009027B2" w:rsidRPr="00D407FD" w:rsidTr="009027B2">
        <w:tc>
          <w:tcPr>
            <w:tcW w:w="2551" w:type="dxa"/>
          </w:tcPr>
          <w:p w:rsidR="009027B2" w:rsidRPr="00D407FD" w:rsidRDefault="009027B2" w:rsidP="006A1E0A">
            <w:pPr>
              <w:rPr>
                <w:rFonts w:cs="Arial"/>
                <w:sz w:val="18"/>
                <w:szCs w:val="18"/>
              </w:rPr>
            </w:pPr>
            <w:r w:rsidRPr="00D407FD">
              <w:rPr>
                <w:rFonts w:cs="Arial"/>
                <w:sz w:val="18"/>
                <w:szCs w:val="18"/>
              </w:rPr>
              <w:t xml:space="preserve">Where a specific source name of an oil is used on the label of the food (e.g. soybean oil), the label of the food containing that oil must include a statement that describes the nature of any process that has been used to alter the fatty acid composition of the oil. </w:t>
            </w:r>
          </w:p>
        </w:tc>
        <w:tc>
          <w:tcPr>
            <w:tcW w:w="2551" w:type="dxa"/>
          </w:tcPr>
          <w:p w:rsidR="009027B2" w:rsidRPr="00D407FD" w:rsidRDefault="009027B2" w:rsidP="006A1E0A">
            <w:pPr>
              <w:rPr>
                <w:rFonts w:cs="Arial"/>
                <w:sz w:val="18"/>
                <w:szCs w:val="18"/>
              </w:rPr>
            </w:pPr>
            <w:r w:rsidRPr="00D407FD">
              <w:rPr>
                <w:rFonts w:cs="Arial"/>
                <w:sz w:val="18"/>
                <w:szCs w:val="18"/>
              </w:rPr>
              <w:t xml:space="preserve">Oils and fats that have been hydrogenated or partially hydrogenated, including tallow, but not including lard, must include ‘hydrogenated’ in the name of the ingredient. </w:t>
            </w:r>
          </w:p>
          <w:p w:rsidR="009027B2" w:rsidRPr="00D407FD" w:rsidRDefault="009027B2" w:rsidP="006A1E0A">
            <w:pPr>
              <w:rPr>
                <w:rFonts w:cs="Arial"/>
                <w:sz w:val="18"/>
                <w:szCs w:val="18"/>
              </w:rPr>
            </w:pPr>
            <w:r w:rsidRPr="00D407FD">
              <w:rPr>
                <w:rFonts w:cs="Arial"/>
                <w:sz w:val="18"/>
                <w:szCs w:val="18"/>
              </w:rPr>
              <w:t xml:space="preserve">Marine fats or oils and coconut oil, palm oil, palm kernel oil, peanut oil or cocoa butter that has been hydrogenated or partially hydrogenated must be named ‘hydrogenated’ plus the specific name of the oil or fat. </w:t>
            </w:r>
          </w:p>
          <w:p w:rsidR="009027B2" w:rsidRPr="00D407FD" w:rsidRDefault="009027B2" w:rsidP="006A1E0A">
            <w:pPr>
              <w:rPr>
                <w:rFonts w:cs="Arial"/>
                <w:sz w:val="18"/>
                <w:szCs w:val="18"/>
              </w:rPr>
            </w:pPr>
          </w:p>
        </w:tc>
        <w:tc>
          <w:tcPr>
            <w:tcW w:w="2551" w:type="dxa"/>
          </w:tcPr>
          <w:p w:rsidR="009027B2" w:rsidRPr="00B744EB" w:rsidRDefault="009027B2" w:rsidP="006A1E0A">
            <w:pPr>
              <w:rPr>
                <w:rFonts w:cs="Arial"/>
                <w:sz w:val="18"/>
                <w:szCs w:val="18"/>
              </w:rPr>
            </w:pPr>
            <w:r w:rsidRPr="00B744EB">
              <w:rPr>
                <w:rFonts w:cs="Arial"/>
                <w:sz w:val="18"/>
                <w:szCs w:val="18"/>
              </w:rPr>
              <w:t xml:space="preserve">If the fat or oil is completely hydrogenated, the name shall include the term </w:t>
            </w:r>
            <w:r w:rsidRPr="00B744EB">
              <w:rPr>
                <w:rFonts w:cs="Arial"/>
                <w:i/>
                <w:iCs/>
                <w:sz w:val="18"/>
                <w:szCs w:val="18"/>
              </w:rPr>
              <w:t>hydrogenated,</w:t>
            </w:r>
            <w:r w:rsidRPr="00B744EB">
              <w:rPr>
                <w:rFonts w:cs="Arial"/>
                <w:sz w:val="18"/>
                <w:szCs w:val="18"/>
              </w:rPr>
              <w:t xml:space="preserve"> or if partially hydrogenated, the name shall include the term </w:t>
            </w:r>
            <w:r w:rsidRPr="00B744EB">
              <w:rPr>
                <w:rFonts w:cs="Arial"/>
                <w:i/>
                <w:iCs/>
                <w:sz w:val="18"/>
                <w:szCs w:val="18"/>
              </w:rPr>
              <w:t>partially hydrogenated.</w:t>
            </w:r>
            <w:r w:rsidRPr="00B744EB">
              <w:rPr>
                <w:rFonts w:cs="Arial"/>
                <w:sz w:val="18"/>
                <w:szCs w:val="18"/>
              </w:rPr>
              <w:t xml:space="preserve"> If each fat and/or oil in a blend or the blend is completely hydrogenated, </w:t>
            </w:r>
            <w:r>
              <w:rPr>
                <w:rFonts w:cs="Arial"/>
                <w:sz w:val="18"/>
                <w:szCs w:val="18"/>
              </w:rPr>
              <w:t xml:space="preserve">or partially hydrogenated </w:t>
            </w:r>
            <w:r w:rsidRPr="00B744EB">
              <w:rPr>
                <w:rFonts w:cs="Arial"/>
                <w:sz w:val="18"/>
                <w:szCs w:val="18"/>
              </w:rPr>
              <w:t xml:space="preserve">the term </w:t>
            </w:r>
            <w:r w:rsidRPr="00B744EB">
              <w:rPr>
                <w:rFonts w:cs="Arial"/>
                <w:i/>
                <w:iCs/>
                <w:sz w:val="18"/>
                <w:szCs w:val="18"/>
              </w:rPr>
              <w:t>hydrogenated</w:t>
            </w:r>
            <w:r>
              <w:rPr>
                <w:rFonts w:cs="Arial"/>
                <w:sz w:val="18"/>
                <w:szCs w:val="18"/>
              </w:rPr>
              <w:t xml:space="preserve"> or </w:t>
            </w:r>
            <w:r>
              <w:rPr>
                <w:rFonts w:cs="Arial"/>
                <w:i/>
                <w:iCs/>
                <w:sz w:val="18"/>
                <w:szCs w:val="18"/>
              </w:rPr>
              <w:t xml:space="preserve">partially hydrogenated, </w:t>
            </w:r>
            <w:r w:rsidRPr="00B652C0">
              <w:rPr>
                <w:rFonts w:cs="Arial"/>
                <w:iCs/>
                <w:sz w:val="18"/>
                <w:szCs w:val="18"/>
              </w:rPr>
              <w:t>respectively</w:t>
            </w:r>
            <w:r>
              <w:rPr>
                <w:rFonts w:cs="Arial"/>
                <w:i/>
                <w:iCs/>
                <w:sz w:val="18"/>
                <w:szCs w:val="18"/>
              </w:rPr>
              <w:t>,</w:t>
            </w:r>
            <w:r w:rsidRPr="00B744EB">
              <w:rPr>
                <w:rFonts w:cs="Arial"/>
                <w:sz w:val="18"/>
                <w:szCs w:val="18"/>
              </w:rPr>
              <w:t xml:space="preserve"> may precede the term(s) describing the blend, e.g., “hydrogenated vegetable oil (soybean, cottonseed, and palm oils)”, rather than preceding the name of </w:t>
            </w:r>
            <w:r>
              <w:rPr>
                <w:rFonts w:cs="Arial"/>
                <w:sz w:val="18"/>
                <w:szCs w:val="18"/>
              </w:rPr>
              <w:t xml:space="preserve">each individual fat and/or oil. </w:t>
            </w:r>
          </w:p>
        </w:tc>
        <w:tc>
          <w:tcPr>
            <w:tcW w:w="2551" w:type="dxa"/>
          </w:tcPr>
          <w:p w:rsidR="009027B2" w:rsidRPr="00D407FD" w:rsidRDefault="009027B2" w:rsidP="002F654E">
            <w:pPr>
              <w:rPr>
                <w:rFonts w:cs="Arial"/>
                <w:sz w:val="18"/>
                <w:szCs w:val="18"/>
              </w:rPr>
            </w:pPr>
            <w:r w:rsidRPr="00D407FD">
              <w:rPr>
                <w:rFonts w:cs="Arial"/>
                <w:sz w:val="18"/>
                <w:szCs w:val="18"/>
              </w:rPr>
              <w:t>Food Labelling Regulations require hydrogenated fat to be identified as such in the ingredient list on the label when it has been used as an ingredient in food. However, if</w:t>
            </w:r>
            <w:r w:rsidR="002F654E">
              <w:rPr>
                <w:rFonts w:cs="Arial"/>
                <w:sz w:val="18"/>
                <w:szCs w:val="18"/>
              </w:rPr>
              <w:t xml:space="preserve"> </w:t>
            </w:r>
            <w:r w:rsidRPr="00D407FD">
              <w:rPr>
                <w:rFonts w:cs="Arial"/>
                <w:sz w:val="18"/>
                <w:szCs w:val="18"/>
              </w:rPr>
              <w:t>hydrogenated fat is part of a compound ingredient that makes up less than 25% of the finished product it is not required to be mentioned in the ingredient list.</w:t>
            </w:r>
          </w:p>
        </w:tc>
        <w:tc>
          <w:tcPr>
            <w:tcW w:w="2551" w:type="dxa"/>
          </w:tcPr>
          <w:p w:rsidR="009027B2" w:rsidRPr="00D407FD" w:rsidRDefault="009027B2" w:rsidP="006A1E0A">
            <w:pPr>
              <w:rPr>
                <w:rFonts w:cs="Arial"/>
                <w:sz w:val="18"/>
                <w:szCs w:val="18"/>
              </w:rPr>
            </w:pPr>
            <w:r w:rsidRPr="00D407FD">
              <w:rPr>
                <w:rFonts w:cs="Arial"/>
                <w:sz w:val="18"/>
                <w:szCs w:val="18"/>
              </w:rPr>
              <w:t>Refined oils other than olive must be d</w:t>
            </w:r>
            <w:r>
              <w:rPr>
                <w:rFonts w:cs="Arial"/>
                <w:sz w:val="18"/>
                <w:szCs w:val="18"/>
              </w:rPr>
              <w:t>eclared as ‘o</w:t>
            </w:r>
            <w:r w:rsidRPr="00D407FD">
              <w:rPr>
                <w:rFonts w:cs="Arial"/>
                <w:sz w:val="18"/>
                <w:szCs w:val="18"/>
              </w:rPr>
              <w:t xml:space="preserve">il’ with either ‘vegetable’ or ‘animal’, qualified by the term ‘hydrogenated’ or ‘partially hydrogenated’ as appropriate. </w:t>
            </w:r>
          </w:p>
        </w:tc>
      </w:tr>
    </w:tbl>
    <w:p w:rsidR="00343949" w:rsidRPr="00B138FE" w:rsidRDefault="00343949" w:rsidP="00343949">
      <w:pPr>
        <w:rPr>
          <w:rFonts w:cs="Arial"/>
        </w:rPr>
      </w:pPr>
      <w:r w:rsidRPr="00B138FE">
        <w:rPr>
          <w:rFonts w:cs="Arial"/>
          <w:vertAlign w:val="superscript"/>
        </w:rPr>
        <w:t>1</w:t>
      </w:r>
      <w:r>
        <w:rPr>
          <w:rFonts w:cs="Arial"/>
        </w:rPr>
        <w:t xml:space="preserve"> </w:t>
      </w:r>
      <w:r w:rsidRPr="007E173C">
        <w:rPr>
          <w:rFonts w:cs="Arial"/>
          <w:i/>
          <w:sz w:val="18"/>
          <w:szCs w:val="18"/>
        </w:rPr>
        <w:t>Refer to footnotes under Table 1 for links to regulations and guidance documents</w:t>
      </w:r>
    </w:p>
    <w:p w:rsidR="00343949" w:rsidRDefault="00343949" w:rsidP="00343949">
      <w:pPr>
        <w:rPr>
          <w:rFonts w:cs="Arial"/>
        </w:rPr>
      </w:pPr>
    </w:p>
    <w:p w:rsidR="00343949" w:rsidRPr="00C3692B" w:rsidRDefault="00343949" w:rsidP="00343949">
      <w:pPr>
        <w:rPr>
          <w:rFonts w:cs="Arial"/>
        </w:rPr>
      </w:pPr>
    </w:p>
    <w:p w:rsidR="00343949" w:rsidRDefault="00343949" w:rsidP="00825A7D">
      <w:pPr>
        <w:rPr>
          <w:lang w:bidi="ar-SA"/>
        </w:rPr>
      </w:pPr>
    </w:p>
    <w:sectPr w:rsidR="00343949" w:rsidSect="006A1E0A">
      <w:headerReference w:type="default" r:id="rId40"/>
      <w:footerReference w:type="default" r:id="rId4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520" w:rsidRDefault="00B85520">
      <w:r>
        <w:separator/>
      </w:r>
    </w:p>
  </w:endnote>
  <w:endnote w:type="continuationSeparator" w:id="0">
    <w:p w:rsidR="00B85520" w:rsidRDefault="00B8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VendettaMediu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20" w:rsidRPr="0033705E" w:rsidRDefault="00B85520" w:rsidP="0033705E">
    <w:pPr>
      <w:widowControl/>
      <w:tabs>
        <w:tab w:val="center" w:pos="4153"/>
        <w:tab w:val="right" w:pos="8306"/>
      </w:tabs>
      <w:jc w:val="right"/>
      <w:rPr>
        <w:rFonts w:ascii="Times New Roman" w:hAnsi="Times New Roman"/>
        <w:sz w:val="20"/>
        <w:szCs w:val="20"/>
        <w:lang w:val="en-AU" w:eastAsia="en-AU" w:bidi="ar-SA"/>
      </w:rPr>
    </w:pPr>
    <w:r w:rsidRPr="0033705E">
      <w:rPr>
        <w:rFonts w:ascii="Times New Roman" w:hAnsi="Times New Roman"/>
        <w:sz w:val="20"/>
        <w:szCs w:val="20"/>
        <w:lang w:val="en-AU" w:eastAsia="en-AU" w:bidi="ar-SA"/>
      </w:rPr>
      <w:fldChar w:fldCharType="begin"/>
    </w:r>
    <w:r w:rsidRPr="0033705E">
      <w:rPr>
        <w:rFonts w:ascii="Times New Roman" w:hAnsi="Times New Roman"/>
        <w:sz w:val="20"/>
        <w:szCs w:val="20"/>
        <w:lang w:val="en-AU" w:eastAsia="en-AU" w:bidi="ar-SA"/>
      </w:rPr>
      <w:instrText xml:space="preserve">PAGE  </w:instrText>
    </w:r>
    <w:r w:rsidRPr="0033705E">
      <w:rPr>
        <w:rFonts w:ascii="Times New Roman" w:hAnsi="Times New Roman"/>
        <w:sz w:val="20"/>
        <w:szCs w:val="20"/>
        <w:lang w:val="en-AU" w:eastAsia="en-AU" w:bidi="ar-SA"/>
      </w:rPr>
      <w:fldChar w:fldCharType="separate"/>
    </w:r>
    <w:r w:rsidR="004A161D">
      <w:rPr>
        <w:rFonts w:ascii="Times New Roman" w:hAnsi="Times New Roman"/>
        <w:noProof/>
        <w:sz w:val="20"/>
        <w:szCs w:val="20"/>
        <w:lang w:val="en-AU" w:eastAsia="en-AU" w:bidi="ar-SA"/>
      </w:rPr>
      <w:t>iii</w:t>
    </w:r>
    <w:r w:rsidRPr="0033705E">
      <w:rPr>
        <w:rFonts w:ascii="Times New Roman" w:hAnsi="Times New Roman"/>
        <w:sz w:val="20"/>
        <w:szCs w:val="20"/>
        <w:lang w:val="en-AU" w:eastAsia="en-AU" w:bidi="ar-SA"/>
      </w:rPr>
      <w:fldChar w:fldCharType="end"/>
    </w:r>
  </w:p>
  <w:p w:rsidR="00B85520" w:rsidRPr="0033705E" w:rsidRDefault="004A161D" w:rsidP="004A161D">
    <w:pPr>
      <w:pStyle w:val="Footer"/>
      <w:tabs>
        <w:tab w:val="clear" w:pos="4153"/>
        <w:tab w:val="clear" w:pos="8306"/>
        <w:tab w:val="left" w:pos="733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20" w:rsidRDefault="00B85520" w:rsidP="00A671E6">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930070"/>
      <w:docPartObj>
        <w:docPartGallery w:val="Page Numbers (Bottom of Page)"/>
        <w:docPartUnique/>
      </w:docPartObj>
    </w:sdtPr>
    <w:sdtEndPr>
      <w:rPr>
        <w:noProof/>
      </w:rPr>
    </w:sdtEndPr>
    <w:sdtContent>
      <w:p w:rsidR="00B85520" w:rsidRDefault="00B85520" w:rsidP="000A286B">
        <w:pPr>
          <w:pStyle w:val="Footer"/>
          <w:jc w:val="right"/>
        </w:pPr>
        <w:r>
          <w:fldChar w:fldCharType="begin"/>
        </w:r>
        <w:r>
          <w:instrText xml:space="preserve"> PAGE   \* MERGEFORMAT </w:instrText>
        </w:r>
        <w:r>
          <w:fldChar w:fldCharType="separate"/>
        </w:r>
        <w:r w:rsidR="004A161D">
          <w:rPr>
            <w:noProof/>
          </w:rPr>
          <w:t>17</w:t>
        </w:r>
        <w:r>
          <w:rPr>
            <w:noProof/>
          </w:rPr>
          <w:fldChar w:fldCharType="end"/>
        </w:r>
      </w:p>
    </w:sdtContent>
  </w:sdt>
  <w:p w:rsidR="00B85520" w:rsidRDefault="00B85520" w:rsidP="000A286B">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673364"/>
      <w:docPartObj>
        <w:docPartGallery w:val="Page Numbers (Bottom of Page)"/>
        <w:docPartUnique/>
      </w:docPartObj>
    </w:sdtPr>
    <w:sdtEndPr>
      <w:rPr>
        <w:noProof/>
      </w:rPr>
    </w:sdtEndPr>
    <w:sdtContent>
      <w:p w:rsidR="00B85520" w:rsidRDefault="00B85520" w:rsidP="00B70DFE">
        <w:pPr>
          <w:pStyle w:val="Footer"/>
          <w:rPr>
            <w:noProof/>
            <w:sz w:val="22"/>
          </w:rPr>
        </w:pPr>
        <w:r>
          <w:fldChar w:fldCharType="begin"/>
        </w:r>
        <w:r>
          <w:instrText xml:space="preserve"> PAGE   \* MERGEFORMAT </w:instrText>
        </w:r>
        <w:r>
          <w:fldChar w:fldCharType="separate"/>
        </w:r>
        <w:r w:rsidR="004A161D">
          <w:rPr>
            <w:noProof/>
          </w:rPr>
          <w:t>20</w:t>
        </w:r>
        <w:r>
          <w:rPr>
            <w:noProof/>
          </w:rPr>
          <w:fldChar w:fldCharType="end"/>
        </w:r>
      </w:p>
    </w:sdtContent>
  </w:sdt>
  <w:p w:rsidR="00B85520" w:rsidRDefault="00B85520" w:rsidP="00B70DF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520" w:rsidRDefault="00B85520">
      <w:r>
        <w:separator/>
      </w:r>
    </w:p>
  </w:footnote>
  <w:footnote w:type="continuationSeparator" w:id="0">
    <w:p w:rsidR="00B85520" w:rsidRDefault="00B85520">
      <w:r>
        <w:continuationSeparator/>
      </w:r>
    </w:p>
  </w:footnote>
  <w:footnote w:id="1">
    <w:p w:rsidR="00B85520" w:rsidRPr="007E173C" w:rsidRDefault="00B85520" w:rsidP="007E173C">
      <w:pPr>
        <w:pStyle w:val="FootnoteText"/>
        <w:ind w:left="426"/>
        <w:rPr>
          <w:sz w:val="18"/>
          <w:szCs w:val="18"/>
          <w:lang w:val="en-AU"/>
        </w:rPr>
      </w:pPr>
      <w:r w:rsidRPr="007E173C">
        <w:rPr>
          <w:rStyle w:val="FootnoteReference"/>
          <w:sz w:val="18"/>
          <w:szCs w:val="18"/>
        </w:rPr>
        <w:footnoteRef/>
      </w:r>
      <w:r w:rsidRPr="007E173C">
        <w:rPr>
          <w:sz w:val="18"/>
          <w:szCs w:val="18"/>
        </w:rPr>
        <w:t xml:space="preserve"> </w:t>
      </w:r>
      <w:r w:rsidRPr="007E173C">
        <w:rPr>
          <w:sz w:val="18"/>
          <w:szCs w:val="18"/>
          <w:lang w:val="en-AU"/>
        </w:rPr>
        <w:t xml:space="preserve">Government response to Labelling Logic is at </w:t>
      </w:r>
      <w:hyperlink r:id="rId1" w:history="1">
        <w:r w:rsidRPr="007E173C">
          <w:rPr>
            <w:rStyle w:val="Hyperlink"/>
            <w:sz w:val="18"/>
            <w:szCs w:val="18"/>
            <w:lang w:val="en-AU"/>
          </w:rPr>
          <w:t>http://www.foodlabellingreview.gov.au/internet/foodlabelling/publishing.nsf/content/home</w:t>
        </w:r>
      </w:hyperlink>
      <w:r w:rsidRPr="007E173C">
        <w:rPr>
          <w:sz w:val="18"/>
          <w:szCs w:val="18"/>
          <w:lang w:val="en-AU"/>
        </w:rPr>
        <w:t xml:space="preserve"> </w:t>
      </w:r>
    </w:p>
  </w:footnote>
  <w:footnote w:id="2">
    <w:p w:rsidR="00B85520" w:rsidRPr="007E173C" w:rsidRDefault="00B85520" w:rsidP="007E173C">
      <w:pPr>
        <w:pStyle w:val="FootnoteText"/>
        <w:ind w:left="426"/>
        <w:rPr>
          <w:sz w:val="18"/>
          <w:szCs w:val="18"/>
          <w:lang w:val="en-AU"/>
        </w:rPr>
      </w:pPr>
      <w:r w:rsidRPr="007E173C">
        <w:rPr>
          <w:rStyle w:val="FootnoteReference"/>
          <w:sz w:val="18"/>
          <w:szCs w:val="18"/>
        </w:rPr>
        <w:footnoteRef/>
      </w:r>
      <w:r w:rsidRPr="007E173C">
        <w:rPr>
          <w:sz w:val="18"/>
          <w:szCs w:val="18"/>
        </w:rPr>
        <w:t xml:space="preserve"> Recommendation 12 – grouping added sugars, fats/oils in the ingredient list</w:t>
      </w:r>
    </w:p>
  </w:footnote>
  <w:footnote w:id="3">
    <w:p w:rsidR="00B85520" w:rsidRPr="00616DAD" w:rsidRDefault="00B85520" w:rsidP="007E173C">
      <w:pPr>
        <w:pStyle w:val="FootnoteText"/>
        <w:ind w:left="426"/>
        <w:rPr>
          <w:lang w:val="en-AU"/>
        </w:rPr>
      </w:pPr>
      <w:r w:rsidRPr="007E173C">
        <w:rPr>
          <w:rStyle w:val="FootnoteReference"/>
          <w:sz w:val="18"/>
          <w:szCs w:val="18"/>
        </w:rPr>
        <w:footnoteRef/>
      </w:r>
      <w:r w:rsidRPr="007E173C">
        <w:rPr>
          <w:sz w:val="18"/>
          <w:szCs w:val="18"/>
        </w:rPr>
        <w:t xml:space="preserve"> Recommendation 14 – mandatory dietary fibre declarations</w:t>
      </w:r>
    </w:p>
  </w:footnote>
  <w:footnote w:id="4">
    <w:p w:rsidR="00B85520" w:rsidRPr="007E173C" w:rsidRDefault="00B85520" w:rsidP="007E173C">
      <w:pPr>
        <w:pStyle w:val="FootnoteText"/>
        <w:ind w:left="426"/>
        <w:rPr>
          <w:sz w:val="18"/>
          <w:szCs w:val="18"/>
          <w:lang w:val="en-AU"/>
        </w:rPr>
      </w:pPr>
      <w:r w:rsidRPr="007E173C">
        <w:rPr>
          <w:rStyle w:val="FootnoteReference"/>
          <w:sz w:val="18"/>
          <w:szCs w:val="18"/>
        </w:rPr>
        <w:footnoteRef/>
      </w:r>
      <w:r w:rsidRPr="007E173C">
        <w:rPr>
          <w:sz w:val="18"/>
          <w:szCs w:val="18"/>
        </w:rPr>
        <w:t xml:space="preserve"> </w:t>
      </w:r>
      <w:r w:rsidRPr="007E173C">
        <w:rPr>
          <w:sz w:val="18"/>
          <w:szCs w:val="18"/>
          <w:lang w:val="en-NZ"/>
        </w:rPr>
        <w:t xml:space="preserve">Further information is available at </w:t>
      </w:r>
      <w:hyperlink r:id="rId2" w:anchor="h-8" w:history="1">
        <w:r w:rsidRPr="007E173C">
          <w:rPr>
            <w:rStyle w:val="Hyperlink"/>
            <w:sz w:val="18"/>
            <w:szCs w:val="18"/>
            <w:lang w:val="en-NZ"/>
          </w:rPr>
          <w:t>https://www.federalregister.gov/articles/2013/11/08/2013-26854/tentative-determination-regarding-partially-hydrogenated-oils-request-for-comments-and-for#h-8</w:t>
        </w:r>
      </w:hyperlink>
    </w:p>
  </w:footnote>
  <w:footnote w:id="5">
    <w:p w:rsidR="00B85520" w:rsidRPr="007E173C" w:rsidRDefault="00B85520" w:rsidP="007E173C">
      <w:pPr>
        <w:pStyle w:val="FootnoteText"/>
        <w:ind w:left="426"/>
        <w:rPr>
          <w:sz w:val="18"/>
          <w:szCs w:val="18"/>
          <w:lang w:val="en-AU"/>
        </w:rPr>
      </w:pPr>
      <w:r w:rsidRPr="007E173C">
        <w:rPr>
          <w:rStyle w:val="FootnoteReference"/>
          <w:sz w:val="18"/>
          <w:szCs w:val="18"/>
        </w:rPr>
        <w:footnoteRef/>
      </w:r>
      <w:r w:rsidRPr="007E173C">
        <w:rPr>
          <w:sz w:val="18"/>
          <w:szCs w:val="18"/>
        </w:rPr>
        <w:t xml:space="preserve"> </w:t>
      </w:r>
      <w:r w:rsidRPr="007E173C">
        <w:rPr>
          <w:sz w:val="18"/>
          <w:szCs w:val="18"/>
          <w:lang w:val="en-NZ"/>
        </w:rPr>
        <w:t xml:space="preserve">Further information is available at </w:t>
      </w:r>
      <w:hyperlink r:id="rId3" w:history="1">
        <w:r w:rsidRPr="007E173C">
          <w:rPr>
            <w:rStyle w:val="Hyperlink"/>
            <w:sz w:val="18"/>
            <w:szCs w:val="18"/>
            <w:lang w:val="en-NZ"/>
          </w:rPr>
          <w:t>https://responsibilitydeal.dh.gov.uk/</w:t>
        </w:r>
      </w:hyperlink>
    </w:p>
  </w:footnote>
  <w:footnote w:id="6">
    <w:p w:rsidR="00B85520" w:rsidRPr="00D322B7" w:rsidRDefault="00B85520" w:rsidP="007E173C">
      <w:pPr>
        <w:pStyle w:val="FootnoteText"/>
        <w:ind w:left="426"/>
        <w:rPr>
          <w:lang w:val="en-AU"/>
        </w:rPr>
      </w:pPr>
      <w:r w:rsidRPr="007E173C">
        <w:rPr>
          <w:rStyle w:val="FootnoteReference"/>
          <w:sz w:val="18"/>
          <w:szCs w:val="18"/>
        </w:rPr>
        <w:footnoteRef/>
      </w:r>
      <w:r w:rsidRPr="007E173C">
        <w:rPr>
          <w:sz w:val="18"/>
          <w:szCs w:val="18"/>
        </w:rPr>
        <w:t xml:space="preserve"> </w:t>
      </w:r>
      <w:hyperlink r:id="rId4" w:history="1">
        <w:r w:rsidRPr="007E173C">
          <w:rPr>
            <w:rStyle w:val="Hyperlink"/>
            <w:sz w:val="18"/>
            <w:szCs w:val="18"/>
          </w:rPr>
          <w:t>http://www.s-ge.com/6059BA05-8CAB-42A2-9427-2CE816B3CBD7/FinalDownload/DownloadId-D1408E7E5C70D1853E580572C0995300/6059BA05-8CAB-42A2-9427-2CE816B3CBD7/sites/default/files/guidance_on_food_labelling_0.pdf</w:t>
        </w:r>
      </w:hyperlink>
      <w:r>
        <w:t xml:space="preserve"> </w:t>
      </w:r>
    </w:p>
  </w:footnote>
  <w:footnote w:id="7">
    <w:p w:rsidR="00B85520" w:rsidRPr="002B1395" w:rsidRDefault="00B85520" w:rsidP="002B1395">
      <w:pPr>
        <w:autoSpaceDE w:val="0"/>
        <w:autoSpaceDN w:val="0"/>
        <w:adjustRightInd w:val="0"/>
        <w:ind w:left="426"/>
        <w:rPr>
          <w:rFonts w:cs="Arial"/>
          <w:sz w:val="18"/>
          <w:szCs w:val="18"/>
        </w:rPr>
      </w:pPr>
      <w:r w:rsidRPr="002B1395">
        <w:rPr>
          <w:rStyle w:val="FootnoteReference"/>
          <w:sz w:val="18"/>
          <w:szCs w:val="18"/>
        </w:rPr>
        <w:footnoteRef/>
      </w:r>
      <w:r w:rsidRPr="002B1395">
        <w:rPr>
          <w:sz w:val="18"/>
          <w:szCs w:val="18"/>
        </w:rPr>
        <w:t xml:space="preserve"> </w:t>
      </w:r>
      <w:r w:rsidRPr="002B1395">
        <w:rPr>
          <w:rFonts w:cs="Arial"/>
          <w:sz w:val="18"/>
          <w:szCs w:val="18"/>
        </w:rPr>
        <w:t>Both reviews were conducted by researchers at Edith Cowan University and reviewed by FSANZ’s Health Claims Scientific Advisory Group.</w:t>
      </w:r>
    </w:p>
    <w:p w:rsidR="00B85520" w:rsidRPr="002B1395" w:rsidRDefault="00B85520">
      <w:pPr>
        <w:pStyle w:val="FootnoteText"/>
        <w:rPr>
          <w:lang w:val="en-AU"/>
        </w:rPr>
      </w:pPr>
    </w:p>
  </w:footnote>
  <w:footnote w:id="8">
    <w:p w:rsidR="00B85520" w:rsidRPr="007E173C" w:rsidRDefault="00B85520" w:rsidP="007E173C">
      <w:pPr>
        <w:pStyle w:val="FootnoteText"/>
        <w:ind w:left="426"/>
        <w:rPr>
          <w:sz w:val="18"/>
          <w:szCs w:val="18"/>
          <w:lang w:val="en-AU"/>
        </w:rPr>
      </w:pPr>
      <w:r w:rsidRPr="007E173C">
        <w:rPr>
          <w:rStyle w:val="FootnoteReference"/>
          <w:sz w:val="18"/>
          <w:szCs w:val="18"/>
        </w:rPr>
        <w:footnoteRef/>
      </w:r>
      <w:r w:rsidRPr="007E173C">
        <w:rPr>
          <w:sz w:val="18"/>
          <w:szCs w:val="18"/>
        </w:rPr>
        <w:t xml:space="preserve"> </w:t>
      </w:r>
      <w:r w:rsidRPr="007E173C">
        <w:rPr>
          <w:sz w:val="18"/>
          <w:szCs w:val="18"/>
          <w:lang w:val="en-AU"/>
        </w:rPr>
        <w:t xml:space="preserve">Further information is available at </w:t>
      </w:r>
      <w:hyperlink r:id="rId5" w:history="1">
        <w:r w:rsidRPr="007E173C">
          <w:rPr>
            <w:rStyle w:val="Hyperlink"/>
            <w:sz w:val="18"/>
            <w:szCs w:val="18"/>
            <w:lang w:val="en-AU"/>
          </w:rPr>
          <w:t>http://www.hc-sc.gc.ca/fn-an/nutrition/gras-trans-fats/index-eng.php</w:t>
        </w:r>
      </w:hyperlink>
      <w:r w:rsidRPr="007E173C">
        <w:rPr>
          <w:sz w:val="18"/>
          <w:szCs w:val="18"/>
          <w:lang w:val="en-AU"/>
        </w:rPr>
        <w:t xml:space="preserve"> </w:t>
      </w:r>
    </w:p>
  </w:footnote>
  <w:footnote w:id="9">
    <w:p w:rsidR="00B85520" w:rsidRPr="00A8549C" w:rsidRDefault="00B85520" w:rsidP="007E173C">
      <w:pPr>
        <w:pStyle w:val="FootnoteText"/>
        <w:ind w:left="426"/>
        <w:rPr>
          <w:lang w:val="en-AU"/>
        </w:rPr>
      </w:pPr>
      <w:r w:rsidRPr="007E173C">
        <w:rPr>
          <w:rStyle w:val="FootnoteReference"/>
          <w:sz w:val="18"/>
          <w:szCs w:val="18"/>
        </w:rPr>
        <w:footnoteRef/>
      </w:r>
      <w:r w:rsidRPr="007E173C">
        <w:rPr>
          <w:sz w:val="18"/>
          <w:szCs w:val="18"/>
        </w:rPr>
        <w:t xml:space="preserve"> Further information is available at </w:t>
      </w:r>
      <w:hyperlink r:id="rId6" w:history="1">
        <w:r w:rsidRPr="007E173C">
          <w:rPr>
            <w:rStyle w:val="Hyperlink"/>
            <w:sz w:val="18"/>
            <w:szCs w:val="18"/>
          </w:rPr>
          <w:t>http://www.hc-sc.gc.ca/fn-an/nutrition/gras-trans-fats/tfa-age_tc-tm-eng.php</w:t>
        </w:r>
      </w:hyperlink>
      <w:r>
        <w:t xml:space="preserve"> </w:t>
      </w:r>
    </w:p>
  </w:footnote>
  <w:footnote w:id="10">
    <w:p w:rsidR="00B85520" w:rsidRPr="007E173C" w:rsidRDefault="00B85520" w:rsidP="007E173C">
      <w:pPr>
        <w:pStyle w:val="FootnoteText"/>
        <w:ind w:left="426"/>
        <w:rPr>
          <w:sz w:val="18"/>
          <w:szCs w:val="18"/>
          <w:lang w:val="en-NZ"/>
        </w:rPr>
      </w:pPr>
      <w:r w:rsidRPr="007E173C">
        <w:rPr>
          <w:rStyle w:val="FootnoteReference"/>
          <w:sz w:val="18"/>
          <w:szCs w:val="18"/>
        </w:rPr>
        <w:footnoteRef/>
      </w:r>
      <w:r w:rsidRPr="007E173C">
        <w:rPr>
          <w:sz w:val="18"/>
          <w:szCs w:val="18"/>
        </w:rPr>
        <w:t xml:space="preserve"> </w:t>
      </w:r>
      <w:r w:rsidRPr="007E173C">
        <w:rPr>
          <w:sz w:val="18"/>
          <w:szCs w:val="18"/>
          <w:lang w:val="en-NZ"/>
        </w:rPr>
        <w:t xml:space="preserve">Further information is available at </w:t>
      </w:r>
      <w:hyperlink r:id="rId7" w:anchor="h-8" w:history="1">
        <w:r w:rsidRPr="007E173C">
          <w:rPr>
            <w:rStyle w:val="Hyperlink"/>
            <w:sz w:val="18"/>
            <w:szCs w:val="18"/>
            <w:lang w:val="en-NZ"/>
          </w:rPr>
          <w:t>https://www.federalregister.gov/articles/2013/11/08/2013-26854/tentative-determination-regarding-partially-hydrogenated-oils-request-for-comments-and-for#h-8</w:t>
        </w:r>
      </w:hyperlink>
      <w:r w:rsidRPr="007E173C">
        <w:rPr>
          <w:sz w:val="18"/>
          <w:szCs w:val="18"/>
          <w:lang w:val="en-NZ"/>
        </w:rPr>
        <w:t xml:space="preserve"> </w:t>
      </w:r>
    </w:p>
  </w:footnote>
  <w:footnote w:id="11">
    <w:p w:rsidR="00B85520" w:rsidRPr="00D322B7" w:rsidRDefault="00B85520" w:rsidP="007E173C">
      <w:pPr>
        <w:pStyle w:val="FootnoteText"/>
        <w:ind w:left="426"/>
        <w:rPr>
          <w:lang w:val="en-AU"/>
        </w:rPr>
      </w:pPr>
      <w:r w:rsidRPr="007E173C">
        <w:rPr>
          <w:rStyle w:val="FootnoteReference"/>
          <w:sz w:val="18"/>
          <w:szCs w:val="18"/>
        </w:rPr>
        <w:footnoteRef/>
      </w:r>
      <w:r w:rsidRPr="007E173C">
        <w:rPr>
          <w:sz w:val="18"/>
          <w:szCs w:val="18"/>
        </w:rPr>
        <w:t xml:space="preserve"> </w:t>
      </w:r>
      <w:hyperlink r:id="rId8" w:history="1">
        <w:r w:rsidRPr="007E173C">
          <w:rPr>
            <w:rStyle w:val="Hyperlink"/>
            <w:sz w:val="18"/>
            <w:szCs w:val="18"/>
          </w:rPr>
          <w:t>http://www.s-ge.com/6059BA05-8CAB-42A2-9427-2CE816B3CBD7/FinalDownload/DownloadId-D1408E7E5C70D1853E580572C0995300/6059BA05-8CAB-42A2-9427-2CE816B3CBD7/sites/default/files/guidance_on_food_labelling_0.pdf</w:t>
        </w:r>
      </w:hyperlink>
      <w:r>
        <w:t xml:space="preserve"> </w:t>
      </w:r>
    </w:p>
  </w:footnote>
  <w:footnote w:id="12">
    <w:p w:rsidR="00B85520" w:rsidRPr="007E173C" w:rsidRDefault="00B85520" w:rsidP="007E173C">
      <w:pPr>
        <w:pStyle w:val="FootnoteText"/>
        <w:ind w:left="426"/>
        <w:rPr>
          <w:sz w:val="18"/>
          <w:szCs w:val="18"/>
          <w:lang w:val="en-NZ"/>
        </w:rPr>
      </w:pPr>
      <w:r w:rsidRPr="007E173C">
        <w:rPr>
          <w:rStyle w:val="FootnoteReference"/>
          <w:sz w:val="18"/>
          <w:szCs w:val="18"/>
        </w:rPr>
        <w:footnoteRef/>
      </w:r>
      <w:r w:rsidRPr="007E173C">
        <w:rPr>
          <w:sz w:val="18"/>
          <w:szCs w:val="18"/>
        </w:rPr>
        <w:t xml:space="preserve"> </w:t>
      </w:r>
      <w:r w:rsidRPr="007E173C">
        <w:rPr>
          <w:sz w:val="18"/>
          <w:szCs w:val="18"/>
          <w:lang w:val="en-NZ"/>
        </w:rPr>
        <w:t xml:space="preserve">Further information is available at </w:t>
      </w:r>
      <w:hyperlink r:id="rId9" w:history="1">
        <w:r w:rsidRPr="007E173C">
          <w:rPr>
            <w:rStyle w:val="Hyperlink"/>
            <w:sz w:val="18"/>
            <w:szCs w:val="18"/>
            <w:lang w:val="en-NZ"/>
          </w:rPr>
          <w:t>https://responsibilitydeal.dh.gov.uk/</w:t>
        </w:r>
      </w:hyperlink>
      <w:r w:rsidRPr="007E173C">
        <w:rPr>
          <w:sz w:val="18"/>
          <w:szCs w:val="18"/>
          <w:lang w:val="en-NZ"/>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20" w:rsidRPr="004A161D" w:rsidRDefault="00B85520" w:rsidP="0033705E">
    <w:pPr>
      <w:tabs>
        <w:tab w:val="center" w:pos="4153"/>
        <w:tab w:val="right" w:pos="8306"/>
      </w:tabs>
      <w:jc w:val="center"/>
      <w:rPr>
        <w:rFonts w:ascii="Times New Roman" w:hAnsi="Times New Roman"/>
        <w:b/>
        <w:spacing w:val="-20"/>
        <w:sz w:val="28"/>
        <w:szCs w:val="28"/>
        <w:lang w:val="en-US" w:bidi="ar-SA"/>
      </w:rPr>
    </w:pPr>
  </w:p>
  <w:p w:rsidR="00B85520" w:rsidRDefault="00B85520" w:rsidP="00515B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520" w:rsidRPr="00D407FD" w:rsidRDefault="00B85520" w:rsidP="00B70DFE">
    <w:pPr>
      <w:pStyle w:val="Header"/>
      <w:tabs>
        <w:tab w:val="left" w:pos="6060"/>
      </w:tabs>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7F2A"/>
    <w:multiLevelType w:val="hybridMultilevel"/>
    <w:tmpl w:val="8A4E449A"/>
    <w:lvl w:ilvl="0" w:tplc="D966BEC4">
      <w:start w:val="1"/>
      <w:numFmt w:val="bullet"/>
      <w:pStyle w:val="FS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2EF7D39"/>
    <w:multiLevelType w:val="hybridMultilevel"/>
    <w:tmpl w:val="0B143984"/>
    <w:lvl w:ilvl="0" w:tplc="1DA0D160">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B234F80"/>
    <w:multiLevelType w:val="multilevel"/>
    <w:tmpl w:val="B1F8FC52"/>
    <w:lvl w:ilvl="0">
      <w:start w:val="3"/>
      <w:numFmt w:val="decimal"/>
      <w:lvlText w:val="%1"/>
      <w:lvlJc w:val="left"/>
      <w:pPr>
        <w:ind w:left="1854" w:hanging="360"/>
      </w:pPr>
      <w:rPr>
        <w:rFonts w:hint="default"/>
      </w:rPr>
    </w:lvl>
    <w:lvl w:ilvl="1">
      <w:start w:val="5"/>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574" w:hanging="1080"/>
      </w:pPr>
      <w:rPr>
        <w:rFonts w:hint="default"/>
      </w:rPr>
    </w:lvl>
    <w:lvl w:ilvl="4">
      <w:start w:val="1"/>
      <w:numFmt w:val="decimal"/>
      <w:isLgl/>
      <w:lvlText w:val="%1.%2.%3.%4.%5"/>
      <w:lvlJc w:val="left"/>
      <w:pPr>
        <w:ind w:left="2934" w:hanging="1440"/>
      </w:pPr>
      <w:rPr>
        <w:rFonts w:hint="default"/>
      </w:rPr>
    </w:lvl>
    <w:lvl w:ilvl="5">
      <w:start w:val="1"/>
      <w:numFmt w:val="decimal"/>
      <w:isLgl/>
      <w:lvlText w:val="%1.%2.%3.%4.%5.%6"/>
      <w:lvlJc w:val="left"/>
      <w:pPr>
        <w:ind w:left="2934" w:hanging="1440"/>
      </w:pPr>
      <w:rPr>
        <w:rFonts w:hint="default"/>
      </w:rPr>
    </w:lvl>
    <w:lvl w:ilvl="6">
      <w:start w:val="1"/>
      <w:numFmt w:val="decimal"/>
      <w:isLgl/>
      <w:lvlText w:val="%1.%2.%3.%4.%5.%6.%7"/>
      <w:lvlJc w:val="left"/>
      <w:pPr>
        <w:ind w:left="3294" w:hanging="1800"/>
      </w:pPr>
      <w:rPr>
        <w:rFonts w:hint="default"/>
      </w:rPr>
    </w:lvl>
    <w:lvl w:ilvl="7">
      <w:start w:val="1"/>
      <w:numFmt w:val="decimal"/>
      <w:isLgl/>
      <w:lvlText w:val="%1.%2.%3.%4.%5.%6.%7.%8"/>
      <w:lvlJc w:val="left"/>
      <w:pPr>
        <w:ind w:left="3294" w:hanging="1800"/>
      </w:pPr>
      <w:rPr>
        <w:rFonts w:hint="default"/>
      </w:rPr>
    </w:lvl>
    <w:lvl w:ilvl="8">
      <w:start w:val="1"/>
      <w:numFmt w:val="decimal"/>
      <w:isLgl/>
      <w:lvlText w:val="%1.%2.%3.%4.%5.%6.%7.%8.%9"/>
      <w:lvlJc w:val="left"/>
      <w:pPr>
        <w:ind w:left="3654" w:hanging="2160"/>
      </w:pPr>
      <w:rPr>
        <w:rFonts w:hint="default"/>
      </w:rPr>
    </w:lvl>
  </w:abstractNum>
  <w:abstractNum w:abstractNumId="7">
    <w:nsid w:val="4B99679E"/>
    <w:multiLevelType w:val="singleLevel"/>
    <w:tmpl w:val="18086914"/>
    <w:lvl w:ilvl="0">
      <w:start w:val="1"/>
      <w:numFmt w:val="bullet"/>
      <w:pStyle w:val="ISCbulleted"/>
      <w:lvlText w:val=""/>
      <w:lvlJc w:val="left"/>
      <w:pPr>
        <w:tabs>
          <w:tab w:val="num" w:pos="360"/>
        </w:tabs>
        <w:ind w:left="360" w:hanging="360"/>
      </w:pPr>
      <w:rPr>
        <w:rFonts w:ascii="Symbol" w:hAnsi="Symbol" w:hint="default"/>
        <w:sz w:val="12"/>
      </w:rPr>
    </w:lvl>
  </w:abstractNum>
  <w:abstractNum w:abstractNumId="8">
    <w:nsid w:val="6A5920F2"/>
    <w:multiLevelType w:val="hybridMultilevel"/>
    <w:tmpl w:val="43E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1A337B5"/>
    <w:multiLevelType w:val="hybridMultilevel"/>
    <w:tmpl w:val="C08438FC"/>
    <w:lvl w:ilvl="0" w:tplc="78E8F3D6">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F0648C"/>
    <w:multiLevelType w:val="hybridMultilevel"/>
    <w:tmpl w:val="832816B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6"/>
  </w:num>
  <w:num w:numId="6">
    <w:abstractNumId w:val="10"/>
  </w:num>
  <w:num w:numId="7">
    <w:abstractNumId w:val="8"/>
  </w:num>
  <w:num w:numId="8">
    <w:abstractNumId w:val="0"/>
  </w:num>
  <w:num w:numId="9">
    <w:abstractNumId w:val="9"/>
  </w:num>
  <w:num w:numId="10">
    <w:abstractNumId w:val="5"/>
  </w:num>
  <w:num w:numId="11">
    <w:abstractNumId w:val="0"/>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0E6"/>
    <w:rsid w:val="0000247B"/>
    <w:rsid w:val="00002648"/>
    <w:rsid w:val="000032F5"/>
    <w:rsid w:val="0000469B"/>
    <w:rsid w:val="0000484B"/>
    <w:rsid w:val="000049E9"/>
    <w:rsid w:val="00004AE3"/>
    <w:rsid w:val="00010E79"/>
    <w:rsid w:val="00012083"/>
    <w:rsid w:val="000128E4"/>
    <w:rsid w:val="00012D15"/>
    <w:rsid w:val="00014E34"/>
    <w:rsid w:val="00015792"/>
    <w:rsid w:val="0001605A"/>
    <w:rsid w:val="000174FD"/>
    <w:rsid w:val="000225BF"/>
    <w:rsid w:val="0002499A"/>
    <w:rsid w:val="000306CF"/>
    <w:rsid w:val="00035FF3"/>
    <w:rsid w:val="000408D9"/>
    <w:rsid w:val="0004150A"/>
    <w:rsid w:val="000418F0"/>
    <w:rsid w:val="00041ED5"/>
    <w:rsid w:val="000465DA"/>
    <w:rsid w:val="00046A82"/>
    <w:rsid w:val="00051021"/>
    <w:rsid w:val="000524F0"/>
    <w:rsid w:val="000528B2"/>
    <w:rsid w:val="00052D54"/>
    <w:rsid w:val="00053C8E"/>
    <w:rsid w:val="000560C7"/>
    <w:rsid w:val="000576EB"/>
    <w:rsid w:val="00057AE7"/>
    <w:rsid w:val="00060FC1"/>
    <w:rsid w:val="00064369"/>
    <w:rsid w:val="00064B2D"/>
    <w:rsid w:val="00065F1F"/>
    <w:rsid w:val="000675E9"/>
    <w:rsid w:val="000732CB"/>
    <w:rsid w:val="0007575A"/>
    <w:rsid w:val="00076D33"/>
    <w:rsid w:val="00076D3B"/>
    <w:rsid w:val="00076D67"/>
    <w:rsid w:val="00076E2B"/>
    <w:rsid w:val="00077AEA"/>
    <w:rsid w:val="00077BC6"/>
    <w:rsid w:val="00081916"/>
    <w:rsid w:val="00081B0A"/>
    <w:rsid w:val="0008315F"/>
    <w:rsid w:val="00083FDC"/>
    <w:rsid w:val="00087397"/>
    <w:rsid w:val="000878DF"/>
    <w:rsid w:val="00087EA3"/>
    <w:rsid w:val="000962F2"/>
    <w:rsid w:val="000A110C"/>
    <w:rsid w:val="000A286B"/>
    <w:rsid w:val="000A2A20"/>
    <w:rsid w:val="000A3D8B"/>
    <w:rsid w:val="000A5289"/>
    <w:rsid w:val="000A5FD8"/>
    <w:rsid w:val="000B015C"/>
    <w:rsid w:val="000B0608"/>
    <w:rsid w:val="000B0A40"/>
    <w:rsid w:val="000B427A"/>
    <w:rsid w:val="000B6443"/>
    <w:rsid w:val="000B6AF2"/>
    <w:rsid w:val="000C0AFE"/>
    <w:rsid w:val="000C2010"/>
    <w:rsid w:val="000C380D"/>
    <w:rsid w:val="000D08DD"/>
    <w:rsid w:val="000D194C"/>
    <w:rsid w:val="000D2AFB"/>
    <w:rsid w:val="000D6507"/>
    <w:rsid w:val="000D6FD4"/>
    <w:rsid w:val="000D7B1C"/>
    <w:rsid w:val="000E0625"/>
    <w:rsid w:val="000E0AE4"/>
    <w:rsid w:val="000E0DF2"/>
    <w:rsid w:val="000E1EA4"/>
    <w:rsid w:val="000E3DBC"/>
    <w:rsid w:val="000E662F"/>
    <w:rsid w:val="000E6824"/>
    <w:rsid w:val="000E7847"/>
    <w:rsid w:val="000F201B"/>
    <w:rsid w:val="000F20B0"/>
    <w:rsid w:val="000F3CFE"/>
    <w:rsid w:val="000F623C"/>
    <w:rsid w:val="000F6568"/>
    <w:rsid w:val="000F6E95"/>
    <w:rsid w:val="000F7575"/>
    <w:rsid w:val="00100918"/>
    <w:rsid w:val="00101688"/>
    <w:rsid w:val="00102819"/>
    <w:rsid w:val="00102CD2"/>
    <w:rsid w:val="00103053"/>
    <w:rsid w:val="00105AD6"/>
    <w:rsid w:val="001073E6"/>
    <w:rsid w:val="0010778D"/>
    <w:rsid w:val="00110325"/>
    <w:rsid w:val="001122EC"/>
    <w:rsid w:val="00112410"/>
    <w:rsid w:val="001147E3"/>
    <w:rsid w:val="0012388D"/>
    <w:rsid w:val="00132A72"/>
    <w:rsid w:val="00132DA0"/>
    <w:rsid w:val="001339D3"/>
    <w:rsid w:val="00133BD4"/>
    <w:rsid w:val="00133BE4"/>
    <w:rsid w:val="00136B39"/>
    <w:rsid w:val="00140CF4"/>
    <w:rsid w:val="00147562"/>
    <w:rsid w:val="00150231"/>
    <w:rsid w:val="00150B54"/>
    <w:rsid w:val="0015242D"/>
    <w:rsid w:val="001537E1"/>
    <w:rsid w:val="00157550"/>
    <w:rsid w:val="00162684"/>
    <w:rsid w:val="001626A2"/>
    <w:rsid w:val="001651DD"/>
    <w:rsid w:val="001720B1"/>
    <w:rsid w:val="001741DE"/>
    <w:rsid w:val="0017480F"/>
    <w:rsid w:val="00174B8B"/>
    <w:rsid w:val="00176BB9"/>
    <w:rsid w:val="0017710A"/>
    <w:rsid w:val="00182618"/>
    <w:rsid w:val="00182670"/>
    <w:rsid w:val="00182C4C"/>
    <w:rsid w:val="001865F9"/>
    <w:rsid w:val="00186EC0"/>
    <w:rsid w:val="001875D9"/>
    <w:rsid w:val="001878C5"/>
    <w:rsid w:val="00193777"/>
    <w:rsid w:val="0019399D"/>
    <w:rsid w:val="00194677"/>
    <w:rsid w:val="00196462"/>
    <w:rsid w:val="00196A11"/>
    <w:rsid w:val="00197D88"/>
    <w:rsid w:val="00197D8D"/>
    <w:rsid w:val="001A0FBF"/>
    <w:rsid w:val="001A1A75"/>
    <w:rsid w:val="001A7E9A"/>
    <w:rsid w:val="001C010E"/>
    <w:rsid w:val="001C27A3"/>
    <w:rsid w:val="001C55F0"/>
    <w:rsid w:val="001C6462"/>
    <w:rsid w:val="001C7FFC"/>
    <w:rsid w:val="001D0B7A"/>
    <w:rsid w:val="001D2FB9"/>
    <w:rsid w:val="001D4030"/>
    <w:rsid w:val="001D4852"/>
    <w:rsid w:val="001D5D2C"/>
    <w:rsid w:val="001E09FA"/>
    <w:rsid w:val="001E0F36"/>
    <w:rsid w:val="001E18A8"/>
    <w:rsid w:val="001E237A"/>
    <w:rsid w:val="001E25BB"/>
    <w:rsid w:val="001E2A8C"/>
    <w:rsid w:val="001E3158"/>
    <w:rsid w:val="001E40C2"/>
    <w:rsid w:val="001E6524"/>
    <w:rsid w:val="001E693C"/>
    <w:rsid w:val="001E6B1A"/>
    <w:rsid w:val="001E7BAD"/>
    <w:rsid w:val="001F3A16"/>
    <w:rsid w:val="00200972"/>
    <w:rsid w:val="00202A6F"/>
    <w:rsid w:val="00203753"/>
    <w:rsid w:val="0021592A"/>
    <w:rsid w:val="002177AD"/>
    <w:rsid w:val="00220927"/>
    <w:rsid w:val="00220D72"/>
    <w:rsid w:val="0022197C"/>
    <w:rsid w:val="00221D07"/>
    <w:rsid w:val="00224E3B"/>
    <w:rsid w:val="002257DB"/>
    <w:rsid w:val="0022618E"/>
    <w:rsid w:val="002265C0"/>
    <w:rsid w:val="00227E4A"/>
    <w:rsid w:val="00235F5B"/>
    <w:rsid w:val="002421C1"/>
    <w:rsid w:val="0024251B"/>
    <w:rsid w:val="00243B33"/>
    <w:rsid w:val="00244C50"/>
    <w:rsid w:val="00244EBC"/>
    <w:rsid w:val="002455F9"/>
    <w:rsid w:val="0024767F"/>
    <w:rsid w:val="002521C3"/>
    <w:rsid w:val="00252A91"/>
    <w:rsid w:val="00253E90"/>
    <w:rsid w:val="00257F76"/>
    <w:rsid w:val="00261A7C"/>
    <w:rsid w:val="002628AB"/>
    <w:rsid w:val="0027057C"/>
    <w:rsid w:val="00270698"/>
    <w:rsid w:val="0027116A"/>
    <w:rsid w:val="00273512"/>
    <w:rsid w:val="00273841"/>
    <w:rsid w:val="00274CBD"/>
    <w:rsid w:val="002758A0"/>
    <w:rsid w:val="00276867"/>
    <w:rsid w:val="00277766"/>
    <w:rsid w:val="0028280F"/>
    <w:rsid w:val="0028537F"/>
    <w:rsid w:val="002871C1"/>
    <w:rsid w:val="0028783F"/>
    <w:rsid w:val="00291135"/>
    <w:rsid w:val="0029204E"/>
    <w:rsid w:val="00295588"/>
    <w:rsid w:val="002963CF"/>
    <w:rsid w:val="00297319"/>
    <w:rsid w:val="002A0194"/>
    <w:rsid w:val="002A0991"/>
    <w:rsid w:val="002A388B"/>
    <w:rsid w:val="002A513E"/>
    <w:rsid w:val="002A5F8B"/>
    <w:rsid w:val="002A7F6C"/>
    <w:rsid w:val="002B0159"/>
    <w:rsid w:val="002B1395"/>
    <w:rsid w:val="002B194A"/>
    <w:rsid w:val="002B2741"/>
    <w:rsid w:val="002B39F2"/>
    <w:rsid w:val="002B44C9"/>
    <w:rsid w:val="002B6D4B"/>
    <w:rsid w:val="002B6D7F"/>
    <w:rsid w:val="002B78F6"/>
    <w:rsid w:val="002B79CD"/>
    <w:rsid w:val="002B7B15"/>
    <w:rsid w:val="002C0CEC"/>
    <w:rsid w:val="002C12CD"/>
    <w:rsid w:val="002C2483"/>
    <w:rsid w:val="002C2FB4"/>
    <w:rsid w:val="002C314F"/>
    <w:rsid w:val="002C3DF8"/>
    <w:rsid w:val="002C5765"/>
    <w:rsid w:val="002C5E65"/>
    <w:rsid w:val="002D1317"/>
    <w:rsid w:val="002D2342"/>
    <w:rsid w:val="002D358E"/>
    <w:rsid w:val="002D4E48"/>
    <w:rsid w:val="002D5B46"/>
    <w:rsid w:val="002D6696"/>
    <w:rsid w:val="002E1820"/>
    <w:rsid w:val="002E4BA6"/>
    <w:rsid w:val="002E5414"/>
    <w:rsid w:val="002F22F1"/>
    <w:rsid w:val="002F233A"/>
    <w:rsid w:val="002F35EA"/>
    <w:rsid w:val="002F6488"/>
    <w:rsid w:val="002F654E"/>
    <w:rsid w:val="0030269A"/>
    <w:rsid w:val="00303566"/>
    <w:rsid w:val="003055D0"/>
    <w:rsid w:val="003056CF"/>
    <w:rsid w:val="00305C54"/>
    <w:rsid w:val="0031016C"/>
    <w:rsid w:val="00313017"/>
    <w:rsid w:val="00314932"/>
    <w:rsid w:val="003154FF"/>
    <w:rsid w:val="00320C11"/>
    <w:rsid w:val="003213F9"/>
    <w:rsid w:val="00322346"/>
    <w:rsid w:val="00323AB6"/>
    <w:rsid w:val="00323AED"/>
    <w:rsid w:val="00323DBF"/>
    <w:rsid w:val="00324520"/>
    <w:rsid w:val="00326F4B"/>
    <w:rsid w:val="003276C1"/>
    <w:rsid w:val="00327867"/>
    <w:rsid w:val="00332B12"/>
    <w:rsid w:val="00332D5A"/>
    <w:rsid w:val="003340CD"/>
    <w:rsid w:val="0033705E"/>
    <w:rsid w:val="00337CBC"/>
    <w:rsid w:val="003428FC"/>
    <w:rsid w:val="00343949"/>
    <w:rsid w:val="003501DF"/>
    <w:rsid w:val="00350789"/>
    <w:rsid w:val="003507DB"/>
    <w:rsid w:val="003516D2"/>
    <w:rsid w:val="00351B07"/>
    <w:rsid w:val="00353E4C"/>
    <w:rsid w:val="00354AF8"/>
    <w:rsid w:val="00355DA7"/>
    <w:rsid w:val="00355FC9"/>
    <w:rsid w:val="00361DEE"/>
    <w:rsid w:val="003622E1"/>
    <w:rsid w:val="0036533D"/>
    <w:rsid w:val="00365503"/>
    <w:rsid w:val="00366138"/>
    <w:rsid w:val="003662DE"/>
    <w:rsid w:val="0036646E"/>
    <w:rsid w:val="0036694F"/>
    <w:rsid w:val="00367EA8"/>
    <w:rsid w:val="003708C7"/>
    <w:rsid w:val="00371B29"/>
    <w:rsid w:val="00372C48"/>
    <w:rsid w:val="00373C52"/>
    <w:rsid w:val="00373CA0"/>
    <w:rsid w:val="00374763"/>
    <w:rsid w:val="003766F8"/>
    <w:rsid w:val="00377080"/>
    <w:rsid w:val="00377123"/>
    <w:rsid w:val="00380106"/>
    <w:rsid w:val="003814F0"/>
    <w:rsid w:val="00381E07"/>
    <w:rsid w:val="00385788"/>
    <w:rsid w:val="00386793"/>
    <w:rsid w:val="00387E1A"/>
    <w:rsid w:val="00391769"/>
    <w:rsid w:val="00391FA1"/>
    <w:rsid w:val="003953E1"/>
    <w:rsid w:val="003956B3"/>
    <w:rsid w:val="00396E5E"/>
    <w:rsid w:val="003A0193"/>
    <w:rsid w:val="003A02FC"/>
    <w:rsid w:val="003A032A"/>
    <w:rsid w:val="003A0338"/>
    <w:rsid w:val="003A0A4D"/>
    <w:rsid w:val="003A1D99"/>
    <w:rsid w:val="003A2FAA"/>
    <w:rsid w:val="003A3227"/>
    <w:rsid w:val="003A3D30"/>
    <w:rsid w:val="003A6787"/>
    <w:rsid w:val="003A68BE"/>
    <w:rsid w:val="003A6E76"/>
    <w:rsid w:val="003A7B84"/>
    <w:rsid w:val="003B3156"/>
    <w:rsid w:val="003B4231"/>
    <w:rsid w:val="003B76E5"/>
    <w:rsid w:val="003C0AE8"/>
    <w:rsid w:val="003C3008"/>
    <w:rsid w:val="003C4969"/>
    <w:rsid w:val="003C5B5C"/>
    <w:rsid w:val="003C5D04"/>
    <w:rsid w:val="003D00C4"/>
    <w:rsid w:val="003D15C3"/>
    <w:rsid w:val="003D2CDC"/>
    <w:rsid w:val="003D5DA6"/>
    <w:rsid w:val="003D5DE6"/>
    <w:rsid w:val="003E1E8F"/>
    <w:rsid w:val="003E1E93"/>
    <w:rsid w:val="003E269C"/>
    <w:rsid w:val="003E2746"/>
    <w:rsid w:val="003E41D5"/>
    <w:rsid w:val="003E4361"/>
    <w:rsid w:val="003E46BA"/>
    <w:rsid w:val="003E52B7"/>
    <w:rsid w:val="003E557C"/>
    <w:rsid w:val="003F1459"/>
    <w:rsid w:val="003F1479"/>
    <w:rsid w:val="003F65E1"/>
    <w:rsid w:val="003F74C1"/>
    <w:rsid w:val="00403CCC"/>
    <w:rsid w:val="00404223"/>
    <w:rsid w:val="004042B4"/>
    <w:rsid w:val="0040585C"/>
    <w:rsid w:val="00405B1A"/>
    <w:rsid w:val="00406ECE"/>
    <w:rsid w:val="00407C6F"/>
    <w:rsid w:val="00410495"/>
    <w:rsid w:val="00410C76"/>
    <w:rsid w:val="0041181F"/>
    <w:rsid w:val="00411907"/>
    <w:rsid w:val="0041645B"/>
    <w:rsid w:val="00417EE3"/>
    <w:rsid w:val="0042048A"/>
    <w:rsid w:val="004207EB"/>
    <w:rsid w:val="00421730"/>
    <w:rsid w:val="00422EC9"/>
    <w:rsid w:val="00423AC7"/>
    <w:rsid w:val="004264FC"/>
    <w:rsid w:val="0042770B"/>
    <w:rsid w:val="0043080B"/>
    <w:rsid w:val="00434DE5"/>
    <w:rsid w:val="0043521C"/>
    <w:rsid w:val="004366C2"/>
    <w:rsid w:val="00437276"/>
    <w:rsid w:val="0043745E"/>
    <w:rsid w:val="004402E3"/>
    <w:rsid w:val="0044415A"/>
    <w:rsid w:val="00444211"/>
    <w:rsid w:val="00444D7E"/>
    <w:rsid w:val="00445291"/>
    <w:rsid w:val="00445B08"/>
    <w:rsid w:val="00447168"/>
    <w:rsid w:val="0044738B"/>
    <w:rsid w:val="00447A9D"/>
    <w:rsid w:val="00451912"/>
    <w:rsid w:val="004534AB"/>
    <w:rsid w:val="00453646"/>
    <w:rsid w:val="00456B54"/>
    <w:rsid w:val="0045790C"/>
    <w:rsid w:val="00457E7E"/>
    <w:rsid w:val="0046031E"/>
    <w:rsid w:val="00460FCC"/>
    <w:rsid w:val="00462621"/>
    <w:rsid w:val="004634F4"/>
    <w:rsid w:val="004635B0"/>
    <w:rsid w:val="004635CA"/>
    <w:rsid w:val="00464643"/>
    <w:rsid w:val="00464C34"/>
    <w:rsid w:val="00464D86"/>
    <w:rsid w:val="00467310"/>
    <w:rsid w:val="004677C3"/>
    <w:rsid w:val="00467F94"/>
    <w:rsid w:val="00470C57"/>
    <w:rsid w:val="00472421"/>
    <w:rsid w:val="004732CE"/>
    <w:rsid w:val="004732D4"/>
    <w:rsid w:val="00473824"/>
    <w:rsid w:val="004762EF"/>
    <w:rsid w:val="00481121"/>
    <w:rsid w:val="00481EDD"/>
    <w:rsid w:val="00482228"/>
    <w:rsid w:val="004826A4"/>
    <w:rsid w:val="00486793"/>
    <w:rsid w:val="00486C66"/>
    <w:rsid w:val="00491A7F"/>
    <w:rsid w:val="004932D6"/>
    <w:rsid w:val="00494161"/>
    <w:rsid w:val="0049442D"/>
    <w:rsid w:val="00494A3F"/>
    <w:rsid w:val="0049649E"/>
    <w:rsid w:val="00496699"/>
    <w:rsid w:val="004A1167"/>
    <w:rsid w:val="004A161D"/>
    <w:rsid w:val="004A1A41"/>
    <w:rsid w:val="004A1A6D"/>
    <w:rsid w:val="004A2037"/>
    <w:rsid w:val="004A690D"/>
    <w:rsid w:val="004A793C"/>
    <w:rsid w:val="004A7E74"/>
    <w:rsid w:val="004B047B"/>
    <w:rsid w:val="004B199D"/>
    <w:rsid w:val="004B314B"/>
    <w:rsid w:val="004B3AE1"/>
    <w:rsid w:val="004B43C2"/>
    <w:rsid w:val="004B4CDC"/>
    <w:rsid w:val="004B50C0"/>
    <w:rsid w:val="004B5F07"/>
    <w:rsid w:val="004B6933"/>
    <w:rsid w:val="004C06C9"/>
    <w:rsid w:val="004C29D4"/>
    <w:rsid w:val="004C50E2"/>
    <w:rsid w:val="004C75EF"/>
    <w:rsid w:val="004D121E"/>
    <w:rsid w:val="004D17D5"/>
    <w:rsid w:val="004D1B1C"/>
    <w:rsid w:val="004D7DB8"/>
    <w:rsid w:val="004E335B"/>
    <w:rsid w:val="004E46D4"/>
    <w:rsid w:val="004E49F9"/>
    <w:rsid w:val="004E4F85"/>
    <w:rsid w:val="004E510E"/>
    <w:rsid w:val="004E7A58"/>
    <w:rsid w:val="004F1510"/>
    <w:rsid w:val="004F1A15"/>
    <w:rsid w:val="004F4119"/>
    <w:rsid w:val="004F4C86"/>
    <w:rsid w:val="004F4F98"/>
    <w:rsid w:val="004F69F6"/>
    <w:rsid w:val="004F6C9B"/>
    <w:rsid w:val="004F723C"/>
    <w:rsid w:val="004F79AC"/>
    <w:rsid w:val="0050058C"/>
    <w:rsid w:val="005008C0"/>
    <w:rsid w:val="00501723"/>
    <w:rsid w:val="00501897"/>
    <w:rsid w:val="0050403D"/>
    <w:rsid w:val="00504EE2"/>
    <w:rsid w:val="00506E9B"/>
    <w:rsid w:val="00511CD5"/>
    <w:rsid w:val="00511F4B"/>
    <w:rsid w:val="00513850"/>
    <w:rsid w:val="00515BC2"/>
    <w:rsid w:val="0051719F"/>
    <w:rsid w:val="00517CE4"/>
    <w:rsid w:val="005207D8"/>
    <w:rsid w:val="005212FB"/>
    <w:rsid w:val="00523930"/>
    <w:rsid w:val="005244F1"/>
    <w:rsid w:val="00525B57"/>
    <w:rsid w:val="00527238"/>
    <w:rsid w:val="00531420"/>
    <w:rsid w:val="00531C7E"/>
    <w:rsid w:val="00532C9A"/>
    <w:rsid w:val="00534CAB"/>
    <w:rsid w:val="00537CDC"/>
    <w:rsid w:val="0054201B"/>
    <w:rsid w:val="00542CA5"/>
    <w:rsid w:val="0054405A"/>
    <w:rsid w:val="0054450E"/>
    <w:rsid w:val="00544AC6"/>
    <w:rsid w:val="00545A3A"/>
    <w:rsid w:val="0055404C"/>
    <w:rsid w:val="00554F30"/>
    <w:rsid w:val="00556F60"/>
    <w:rsid w:val="00560185"/>
    <w:rsid w:val="0056096A"/>
    <w:rsid w:val="00560AE4"/>
    <w:rsid w:val="00561848"/>
    <w:rsid w:val="00562315"/>
    <w:rsid w:val="0056248E"/>
    <w:rsid w:val="00562917"/>
    <w:rsid w:val="005645DC"/>
    <w:rsid w:val="00565155"/>
    <w:rsid w:val="00565A03"/>
    <w:rsid w:val="00566BA3"/>
    <w:rsid w:val="0057052E"/>
    <w:rsid w:val="005710DB"/>
    <w:rsid w:val="00571B8C"/>
    <w:rsid w:val="005723A4"/>
    <w:rsid w:val="00580003"/>
    <w:rsid w:val="00580F92"/>
    <w:rsid w:val="005811B7"/>
    <w:rsid w:val="005819E7"/>
    <w:rsid w:val="00584555"/>
    <w:rsid w:val="0058497A"/>
    <w:rsid w:val="00586072"/>
    <w:rsid w:val="0058614E"/>
    <w:rsid w:val="0058618E"/>
    <w:rsid w:val="00586228"/>
    <w:rsid w:val="005915AF"/>
    <w:rsid w:val="00591DAE"/>
    <w:rsid w:val="00593A67"/>
    <w:rsid w:val="00594465"/>
    <w:rsid w:val="005946D3"/>
    <w:rsid w:val="00597D3D"/>
    <w:rsid w:val="005A053C"/>
    <w:rsid w:val="005A260E"/>
    <w:rsid w:val="005A2E24"/>
    <w:rsid w:val="005A36DB"/>
    <w:rsid w:val="005A5155"/>
    <w:rsid w:val="005A572E"/>
    <w:rsid w:val="005A5C94"/>
    <w:rsid w:val="005A66C1"/>
    <w:rsid w:val="005B1484"/>
    <w:rsid w:val="005B1E28"/>
    <w:rsid w:val="005B276E"/>
    <w:rsid w:val="005B36FD"/>
    <w:rsid w:val="005B45E3"/>
    <w:rsid w:val="005B4D0D"/>
    <w:rsid w:val="005B6AF4"/>
    <w:rsid w:val="005B7061"/>
    <w:rsid w:val="005B71CA"/>
    <w:rsid w:val="005C04CB"/>
    <w:rsid w:val="005C0BC2"/>
    <w:rsid w:val="005C147C"/>
    <w:rsid w:val="005D16AD"/>
    <w:rsid w:val="005D2016"/>
    <w:rsid w:val="005D20FB"/>
    <w:rsid w:val="005D5681"/>
    <w:rsid w:val="005D6978"/>
    <w:rsid w:val="005D72E1"/>
    <w:rsid w:val="005D739D"/>
    <w:rsid w:val="005D77C0"/>
    <w:rsid w:val="005E1B80"/>
    <w:rsid w:val="005E4F3B"/>
    <w:rsid w:val="005E58D3"/>
    <w:rsid w:val="005E6E16"/>
    <w:rsid w:val="005E79F1"/>
    <w:rsid w:val="005F161D"/>
    <w:rsid w:val="005F400E"/>
    <w:rsid w:val="005F710B"/>
    <w:rsid w:val="005F7342"/>
    <w:rsid w:val="006029BD"/>
    <w:rsid w:val="00606FA2"/>
    <w:rsid w:val="00607E8C"/>
    <w:rsid w:val="00610A3C"/>
    <w:rsid w:val="00611B1C"/>
    <w:rsid w:val="006138D7"/>
    <w:rsid w:val="00613D6A"/>
    <w:rsid w:val="00615E83"/>
    <w:rsid w:val="0061651D"/>
    <w:rsid w:val="006207C9"/>
    <w:rsid w:val="006213BF"/>
    <w:rsid w:val="006214CF"/>
    <w:rsid w:val="006236DB"/>
    <w:rsid w:val="00623902"/>
    <w:rsid w:val="00627D32"/>
    <w:rsid w:val="00627F48"/>
    <w:rsid w:val="00630AFE"/>
    <w:rsid w:val="0063455F"/>
    <w:rsid w:val="00635814"/>
    <w:rsid w:val="00640CF2"/>
    <w:rsid w:val="00640DE0"/>
    <w:rsid w:val="00641140"/>
    <w:rsid w:val="00642788"/>
    <w:rsid w:val="00647168"/>
    <w:rsid w:val="00650B01"/>
    <w:rsid w:val="006536F5"/>
    <w:rsid w:val="00657296"/>
    <w:rsid w:val="00657D96"/>
    <w:rsid w:val="00660006"/>
    <w:rsid w:val="0066299D"/>
    <w:rsid w:val="00663FCF"/>
    <w:rsid w:val="006644FF"/>
    <w:rsid w:val="006652A2"/>
    <w:rsid w:val="006658A2"/>
    <w:rsid w:val="0066613C"/>
    <w:rsid w:val="006662C2"/>
    <w:rsid w:val="00666470"/>
    <w:rsid w:val="00673647"/>
    <w:rsid w:val="0067449D"/>
    <w:rsid w:val="00674790"/>
    <w:rsid w:val="00674D18"/>
    <w:rsid w:val="00675D45"/>
    <w:rsid w:val="006804D3"/>
    <w:rsid w:val="0068120D"/>
    <w:rsid w:val="00681C56"/>
    <w:rsid w:val="006823BB"/>
    <w:rsid w:val="00685534"/>
    <w:rsid w:val="006855D3"/>
    <w:rsid w:val="006857F7"/>
    <w:rsid w:val="00686E62"/>
    <w:rsid w:val="00686F38"/>
    <w:rsid w:val="00687261"/>
    <w:rsid w:val="00692490"/>
    <w:rsid w:val="006937D3"/>
    <w:rsid w:val="0069426F"/>
    <w:rsid w:val="00694C9B"/>
    <w:rsid w:val="00695271"/>
    <w:rsid w:val="006969CC"/>
    <w:rsid w:val="00696A15"/>
    <w:rsid w:val="006A1E0A"/>
    <w:rsid w:val="006A2402"/>
    <w:rsid w:val="006A48A7"/>
    <w:rsid w:val="006A5F2B"/>
    <w:rsid w:val="006A687B"/>
    <w:rsid w:val="006A6C97"/>
    <w:rsid w:val="006A78DE"/>
    <w:rsid w:val="006B0ED0"/>
    <w:rsid w:val="006B17BF"/>
    <w:rsid w:val="006B5108"/>
    <w:rsid w:val="006B5AB3"/>
    <w:rsid w:val="006B78C9"/>
    <w:rsid w:val="006C15E3"/>
    <w:rsid w:val="006C1693"/>
    <w:rsid w:val="006C22A7"/>
    <w:rsid w:val="006C5CF5"/>
    <w:rsid w:val="006D0547"/>
    <w:rsid w:val="006D0E35"/>
    <w:rsid w:val="006D133A"/>
    <w:rsid w:val="006D33FF"/>
    <w:rsid w:val="006D5549"/>
    <w:rsid w:val="006D5671"/>
    <w:rsid w:val="006D7F4D"/>
    <w:rsid w:val="006E0EDA"/>
    <w:rsid w:val="006E27D0"/>
    <w:rsid w:val="006E29E4"/>
    <w:rsid w:val="006E5B27"/>
    <w:rsid w:val="006E5DBF"/>
    <w:rsid w:val="006F0C06"/>
    <w:rsid w:val="006F12F3"/>
    <w:rsid w:val="006F15B5"/>
    <w:rsid w:val="006F4A82"/>
    <w:rsid w:val="006F4D73"/>
    <w:rsid w:val="006F50EB"/>
    <w:rsid w:val="006F61A7"/>
    <w:rsid w:val="006F7163"/>
    <w:rsid w:val="006F79B8"/>
    <w:rsid w:val="00701084"/>
    <w:rsid w:val="00702055"/>
    <w:rsid w:val="007030EE"/>
    <w:rsid w:val="00705592"/>
    <w:rsid w:val="00710C37"/>
    <w:rsid w:val="007112A3"/>
    <w:rsid w:val="00713533"/>
    <w:rsid w:val="00714F6F"/>
    <w:rsid w:val="007150B7"/>
    <w:rsid w:val="0071598F"/>
    <w:rsid w:val="0072062E"/>
    <w:rsid w:val="0072185A"/>
    <w:rsid w:val="00723773"/>
    <w:rsid w:val="00724FA4"/>
    <w:rsid w:val="00730298"/>
    <w:rsid w:val="00730800"/>
    <w:rsid w:val="00730C26"/>
    <w:rsid w:val="007319AD"/>
    <w:rsid w:val="0073578B"/>
    <w:rsid w:val="00741937"/>
    <w:rsid w:val="007424D5"/>
    <w:rsid w:val="00743E49"/>
    <w:rsid w:val="00745A19"/>
    <w:rsid w:val="00750768"/>
    <w:rsid w:val="00753540"/>
    <w:rsid w:val="00753DB0"/>
    <w:rsid w:val="00753E38"/>
    <w:rsid w:val="00755F02"/>
    <w:rsid w:val="007602AA"/>
    <w:rsid w:val="0076108C"/>
    <w:rsid w:val="00763B2B"/>
    <w:rsid w:val="00764D63"/>
    <w:rsid w:val="007650E5"/>
    <w:rsid w:val="007652EF"/>
    <w:rsid w:val="00765DE1"/>
    <w:rsid w:val="007668D6"/>
    <w:rsid w:val="00766E68"/>
    <w:rsid w:val="00770082"/>
    <w:rsid w:val="00772BDC"/>
    <w:rsid w:val="007736FE"/>
    <w:rsid w:val="007739A4"/>
    <w:rsid w:val="007765D0"/>
    <w:rsid w:val="00777437"/>
    <w:rsid w:val="00780792"/>
    <w:rsid w:val="007819E4"/>
    <w:rsid w:val="0078309E"/>
    <w:rsid w:val="00786CCA"/>
    <w:rsid w:val="007901BA"/>
    <w:rsid w:val="00790CAE"/>
    <w:rsid w:val="0079113B"/>
    <w:rsid w:val="00791B61"/>
    <w:rsid w:val="00792D5B"/>
    <w:rsid w:val="00793758"/>
    <w:rsid w:val="00795D86"/>
    <w:rsid w:val="007A0132"/>
    <w:rsid w:val="007A121B"/>
    <w:rsid w:val="007A44B4"/>
    <w:rsid w:val="007A44E8"/>
    <w:rsid w:val="007A4917"/>
    <w:rsid w:val="007A7D3D"/>
    <w:rsid w:val="007B0EC7"/>
    <w:rsid w:val="007B1164"/>
    <w:rsid w:val="007B225D"/>
    <w:rsid w:val="007B30E2"/>
    <w:rsid w:val="007B59C6"/>
    <w:rsid w:val="007C0BBC"/>
    <w:rsid w:val="007C1C64"/>
    <w:rsid w:val="007C22CB"/>
    <w:rsid w:val="007C4462"/>
    <w:rsid w:val="007D0189"/>
    <w:rsid w:val="007D2960"/>
    <w:rsid w:val="007D2CD3"/>
    <w:rsid w:val="007D3224"/>
    <w:rsid w:val="007D3ED0"/>
    <w:rsid w:val="007D485A"/>
    <w:rsid w:val="007D620D"/>
    <w:rsid w:val="007D78CA"/>
    <w:rsid w:val="007D7CAE"/>
    <w:rsid w:val="007E080A"/>
    <w:rsid w:val="007E173C"/>
    <w:rsid w:val="007E267A"/>
    <w:rsid w:val="007E3309"/>
    <w:rsid w:val="007E3588"/>
    <w:rsid w:val="007E381A"/>
    <w:rsid w:val="007E3934"/>
    <w:rsid w:val="007E48BC"/>
    <w:rsid w:val="007E4CE1"/>
    <w:rsid w:val="007E6240"/>
    <w:rsid w:val="007E6F94"/>
    <w:rsid w:val="007E79F7"/>
    <w:rsid w:val="007F0158"/>
    <w:rsid w:val="007F1830"/>
    <w:rsid w:val="007F3630"/>
    <w:rsid w:val="007F38E3"/>
    <w:rsid w:val="007F4136"/>
    <w:rsid w:val="007F4F98"/>
    <w:rsid w:val="007F7BF7"/>
    <w:rsid w:val="007F7CB8"/>
    <w:rsid w:val="008010CE"/>
    <w:rsid w:val="00807559"/>
    <w:rsid w:val="008109A7"/>
    <w:rsid w:val="00810A95"/>
    <w:rsid w:val="00812FFB"/>
    <w:rsid w:val="00813464"/>
    <w:rsid w:val="00813DD6"/>
    <w:rsid w:val="00815149"/>
    <w:rsid w:val="00815405"/>
    <w:rsid w:val="00815A09"/>
    <w:rsid w:val="00816313"/>
    <w:rsid w:val="008163C5"/>
    <w:rsid w:val="00820854"/>
    <w:rsid w:val="00821E21"/>
    <w:rsid w:val="00821E7E"/>
    <w:rsid w:val="0082393C"/>
    <w:rsid w:val="00823D29"/>
    <w:rsid w:val="00825A7D"/>
    <w:rsid w:val="00827169"/>
    <w:rsid w:val="00831154"/>
    <w:rsid w:val="00832F44"/>
    <w:rsid w:val="008337ED"/>
    <w:rsid w:val="008339B7"/>
    <w:rsid w:val="008352E7"/>
    <w:rsid w:val="00841FFB"/>
    <w:rsid w:val="00844EB3"/>
    <w:rsid w:val="008450BC"/>
    <w:rsid w:val="0084617F"/>
    <w:rsid w:val="008463E4"/>
    <w:rsid w:val="00847066"/>
    <w:rsid w:val="00847AD2"/>
    <w:rsid w:val="00850091"/>
    <w:rsid w:val="00850B09"/>
    <w:rsid w:val="0085334B"/>
    <w:rsid w:val="008537BA"/>
    <w:rsid w:val="008567FF"/>
    <w:rsid w:val="00860808"/>
    <w:rsid w:val="00861C13"/>
    <w:rsid w:val="00863806"/>
    <w:rsid w:val="008642AC"/>
    <w:rsid w:val="00864D3E"/>
    <w:rsid w:val="008673C5"/>
    <w:rsid w:val="00870214"/>
    <w:rsid w:val="00871116"/>
    <w:rsid w:val="00871ECF"/>
    <w:rsid w:val="00873D2B"/>
    <w:rsid w:val="00875072"/>
    <w:rsid w:val="008801E8"/>
    <w:rsid w:val="00881FED"/>
    <w:rsid w:val="00882E56"/>
    <w:rsid w:val="00883BE8"/>
    <w:rsid w:val="0088469D"/>
    <w:rsid w:val="008853CB"/>
    <w:rsid w:val="00885ADF"/>
    <w:rsid w:val="00885C51"/>
    <w:rsid w:val="00886558"/>
    <w:rsid w:val="00887AE5"/>
    <w:rsid w:val="00891680"/>
    <w:rsid w:val="00892C88"/>
    <w:rsid w:val="00896B85"/>
    <w:rsid w:val="008A043F"/>
    <w:rsid w:val="008A17BB"/>
    <w:rsid w:val="008A243D"/>
    <w:rsid w:val="008A43B4"/>
    <w:rsid w:val="008A5B55"/>
    <w:rsid w:val="008B36A1"/>
    <w:rsid w:val="008B5D06"/>
    <w:rsid w:val="008B5DF8"/>
    <w:rsid w:val="008B5E26"/>
    <w:rsid w:val="008B74B1"/>
    <w:rsid w:val="008B7B56"/>
    <w:rsid w:val="008C06F8"/>
    <w:rsid w:val="008C2ABE"/>
    <w:rsid w:val="008C2BBA"/>
    <w:rsid w:val="008C3E16"/>
    <w:rsid w:val="008C49F8"/>
    <w:rsid w:val="008C592C"/>
    <w:rsid w:val="008C670C"/>
    <w:rsid w:val="008C7880"/>
    <w:rsid w:val="008D005B"/>
    <w:rsid w:val="008D06C6"/>
    <w:rsid w:val="008D4283"/>
    <w:rsid w:val="008D4D3A"/>
    <w:rsid w:val="008D74A7"/>
    <w:rsid w:val="008E4DBE"/>
    <w:rsid w:val="008E6250"/>
    <w:rsid w:val="008E66B2"/>
    <w:rsid w:val="00900F19"/>
    <w:rsid w:val="009012A6"/>
    <w:rsid w:val="00901851"/>
    <w:rsid w:val="0090242C"/>
    <w:rsid w:val="009027B2"/>
    <w:rsid w:val="00903895"/>
    <w:rsid w:val="00903916"/>
    <w:rsid w:val="00904320"/>
    <w:rsid w:val="0090622A"/>
    <w:rsid w:val="009065F3"/>
    <w:rsid w:val="00907AF7"/>
    <w:rsid w:val="0091540E"/>
    <w:rsid w:val="009166EC"/>
    <w:rsid w:val="009177FB"/>
    <w:rsid w:val="00920249"/>
    <w:rsid w:val="009226CC"/>
    <w:rsid w:val="00922F75"/>
    <w:rsid w:val="00924C21"/>
    <w:rsid w:val="009265F4"/>
    <w:rsid w:val="00927470"/>
    <w:rsid w:val="00930A1E"/>
    <w:rsid w:val="009318A7"/>
    <w:rsid w:val="00932F14"/>
    <w:rsid w:val="00941C84"/>
    <w:rsid w:val="00942154"/>
    <w:rsid w:val="0094247F"/>
    <w:rsid w:val="00942D60"/>
    <w:rsid w:val="009436D9"/>
    <w:rsid w:val="00944473"/>
    <w:rsid w:val="009460FA"/>
    <w:rsid w:val="00947534"/>
    <w:rsid w:val="009478A1"/>
    <w:rsid w:val="00951879"/>
    <w:rsid w:val="009552FA"/>
    <w:rsid w:val="00956247"/>
    <w:rsid w:val="0096194F"/>
    <w:rsid w:val="009635A5"/>
    <w:rsid w:val="009639FE"/>
    <w:rsid w:val="0096503A"/>
    <w:rsid w:val="0096523B"/>
    <w:rsid w:val="009653A4"/>
    <w:rsid w:val="0096541C"/>
    <w:rsid w:val="00965690"/>
    <w:rsid w:val="00966383"/>
    <w:rsid w:val="0096789B"/>
    <w:rsid w:val="0097052C"/>
    <w:rsid w:val="00972D06"/>
    <w:rsid w:val="00973663"/>
    <w:rsid w:val="00976B4B"/>
    <w:rsid w:val="0097718F"/>
    <w:rsid w:val="0098030F"/>
    <w:rsid w:val="00982401"/>
    <w:rsid w:val="009844A4"/>
    <w:rsid w:val="00985535"/>
    <w:rsid w:val="00986125"/>
    <w:rsid w:val="00987107"/>
    <w:rsid w:val="0098717D"/>
    <w:rsid w:val="00990EEB"/>
    <w:rsid w:val="009912E5"/>
    <w:rsid w:val="00991EC7"/>
    <w:rsid w:val="0099323D"/>
    <w:rsid w:val="0099337F"/>
    <w:rsid w:val="009A2699"/>
    <w:rsid w:val="009A391C"/>
    <w:rsid w:val="009A3CAA"/>
    <w:rsid w:val="009A5258"/>
    <w:rsid w:val="009A6964"/>
    <w:rsid w:val="009A78AE"/>
    <w:rsid w:val="009B0F03"/>
    <w:rsid w:val="009B1146"/>
    <w:rsid w:val="009B2C28"/>
    <w:rsid w:val="009B35C4"/>
    <w:rsid w:val="009B40AE"/>
    <w:rsid w:val="009B4B31"/>
    <w:rsid w:val="009C19E6"/>
    <w:rsid w:val="009C3108"/>
    <w:rsid w:val="009C7001"/>
    <w:rsid w:val="009C78C5"/>
    <w:rsid w:val="009C7B8A"/>
    <w:rsid w:val="009D0083"/>
    <w:rsid w:val="009D1052"/>
    <w:rsid w:val="009D1596"/>
    <w:rsid w:val="009D1A78"/>
    <w:rsid w:val="009D4327"/>
    <w:rsid w:val="009D45F4"/>
    <w:rsid w:val="009D526B"/>
    <w:rsid w:val="009D55A8"/>
    <w:rsid w:val="009D7ED0"/>
    <w:rsid w:val="009E0A61"/>
    <w:rsid w:val="009E2387"/>
    <w:rsid w:val="009E23B6"/>
    <w:rsid w:val="009E3010"/>
    <w:rsid w:val="009E46F5"/>
    <w:rsid w:val="009E5A07"/>
    <w:rsid w:val="009F0AC6"/>
    <w:rsid w:val="009F3CE5"/>
    <w:rsid w:val="009F44D8"/>
    <w:rsid w:val="009F6DEF"/>
    <w:rsid w:val="009F7065"/>
    <w:rsid w:val="00A007C5"/>
    <w:rsid w:val="00A02793"/>
    <w:rsid w:val="00A06447"/>
    <w:rsid w:val="00A07FD9"/>
    <w:rsid w:val="00A10142"/>
    <w:rsid w:val="00A11011"/>
    <w:rsid w:val="00A14447"/>
    <w:rsid w:val="00A1558A"/>
    <w:rsid w:val="00A15FC8"/>
    <w:rsid w:val="00A20D41"/>
    <w:rsid w:val="00A22A17"/>
    <w:rsid w:val="00A2449C"/>
    <w:rsid w:val="00A258CB"/>
    <w:rsid w:val="00A30697"/>
    <w:rsid w:val="00A318EB"/>
    <w:rsid w:val="00A33DAB"/>
    <w:rsid w:val="00A367AD"/>
    <w:rsid w:val="00A36AC1"/>
    <w:rsid w:val="00A370BA"/>
    <w:rsid w:val="00A376F3"/>
    <w:rsid w:val="00A3795D"/>
    <w:rsid w:val="00A37C5F"/>
    <w:rsid w:val="00A40742"/>
    <w:rsid w:val="00A408CC"/>
    <w:rsid w:val="00A413EA"/>
    <w:rsid w:val="00A44114"/>
    <w:rsid w:val="00A44816"/>
    <w:rsid w:val="00A52358"/>
    <w:rsid w:val="00A551B9"/>
    <w:rsid w:val="00A56514"/>
    <w:rsid w:val="00A56DC7"/>
    <w:rsid w:val="00A57B09"/>
    <w:rsid w:val="00A63C8C"/>
    <w:rsid w:val="00A6426D"/>
    <w:rsid w:val="00A6443C"/>
    <w:rsid w:val="00A644F4"/>
    <w:rsid w:val="00A645B1"/>
    <w:rsid w:val="00A64704"/>
    <w:rsid w:val="00A667B8"/>
    <w:rsid w:val="00A66FDD"/>
    <w:rsid w:val="00A671E6"/>
    <w:rsid w:val="00A709E5"/>
    <w:rsid w:val="00A72F59"/>
    <w:rsid w:val="00A740A8"/>
    <w:rsid w:val="00A74F82"/>
    <w:rsid w:val="00A74FD1"/>
    <w:rsid w:val="00A809F4"/>
    <w:rsid w:val="00A811E6"/>
    <w:rsid w:val="00A820CE"/>
    <w:rsid w:val="00A84A58"/>
    <w:rsid w:val="00A8549C"/>
    <w:rsid w:val="00A87ACF"/>
    <w:rsid w:val="00A929A9"/>
    <w:rsid w:val="00A96036"/>
    <w:rsid w:val="00A96594"/>
    <w:rsid w:val="00A96AE1"/>
    <w:rsid w:val="00AA0094"/>
    <w:rsid w:val="00AA1EA6"/>
    <w:rsid w:val="00AA2169"/>
    <w:rsid w:val="00AA3440"/>
    <w:rsid w:val="00AA41BA"/>
    <w:rsid w:val="00AA4D3E"/>
    <w:rsid w:val="00AA5A93"/>
    <w:rsid w:val="00AA6767"/>
    <w:rsid w:val="00AA6D0D"/>
    <w:rsid w:val="00AA6FA3"/>
    <w:rsid w:val="00AA7B45"/>
    <w:rsid w:val="00AB1488"/>
    <w:rsid w:val="00AB3B0E"/>
    <w:rsid w:val="00AB3CAA"/>
    <w:rsid w:val="00AB5105"/>
    <w:rsid w:val="00AB52B0"/>
    <w:rsid w:val="00AB6D1B"/>
    <w:rsid w:val="00AB7D98"/>
    <w:rsid w:val="00AC2138"/>
    <w:rsid w:val="00AC3F12"/>
    <w:rsid w:val="00AC3F44"/>
    <w:rsid w:val="00AC428E"/>
    <w:rsid w:val="00AC4E8D"/>
    <w:rsid w:val="00AC5868"/>
    <w:rsid w:val="00AC5EED"/>
    <w:rsid w:val="00AC6ECF"/>
    <w:rsid w:val="00AC77E0"/>
    <w:rsid w:val="00AC7CB2"/>
    <w:rsid w:val="00AD06D6"/>
    <w:rsid w:val="00AD13E7"/>
    <w:rsid w:val="00AD344F"/>
    <w:rsid w:val="00AD4B69"/>
    <w:rsid w:val="00AD4DBD"/>
    <w:rsid w:val="00AD4EA0"/>
    <w:rsid w:val="00AD6D2D"/>
    <w:rsid w:val="00AD7257"/>
    <w:rsid w:val="00AD7D64"/>
    <w:rsid w:val="00AE455C"/>
    <w:rsid w:val="00AE4AE3"/>
    <w:rsid w:val="00AE4FFD"/>
    <w:rsid w:val="00AE5D93"/>
    <w:rsid w:val="00AF2011"/>
    <w:rsid w:val="00AF24FA"/>
    <w:rsid w:val="00AF3633"/>
    <w:rsid w:val="00AF387F"/>
    <w:rsid w:val="00AF397D"/>
    <w:rsid w:val="00AF4F70"/>
    <w:rsid w:val="00AF74B5"/>
    <w:rsid w:val="00AF7743"/>
    <w:rsid w:val="00AF7C9B"/>
    <w:rsid w:val="00B00E7F"/>
    <w:rsid w:val="00B01973"/>
    <w:rsid w:val="00B02035"/>
    <w:rsid w:val="00B02F5E"/>
    <w:rsid w:val="00B069E2"/>
    <w:rsid w:val="00B17112"/>
    <w:rsid w:val="00B208BB"/>
    <w:rsid w:val="00B20A41"/>
    <w:rsid w:val="00B21055"/>
    <w:rsid w:val="00B21DCC"/>
    <w:rsid w:val="00B227C8"/>
    <w:rsid w:val="00B25A51"/>
    <w:rsid w:val="00B25F37"/>
    <w:rsid w:val="00B358F7"/>
    <w:rsid w:val="00B37035"/>
    <w:rsid w:val="00B40109"/>
    <w:rsid w:val="00B404B7"/>
    <w:rsid w:val="00B4074D"/>
    <w:rsid w:val="00B425AA"/>
    <w:rsid w:val="00B42AEB"/>
    <w:rsid w:val="00B42FE2"/>
    <w:rsid w:val="00B43261"/>
    <w:rsid w:val="00B441EF"/>
    <w:rsid w:val="00B44422"/>
    <w:rsid w:val="00B445DF"/>
    <w:rsid w:val="00B44C31"/>
    <w:rsid w:val="00B45836"/>
    <w:rsid w:val="00B46EA0"/>
    <w:rsid w:val="00B475A0"/>
    <w:rsid w:val="00B507D4"/>
    <w:rsid w:val="00B5086C"/>
    <w:rsid w:val="00B52B9F"/>
    <w:rsid w:val="00B54988"/>
    <w:rsid w:val="00B55714"/>
    <w:rsid w:val="00B5579B"/>
    <w:rsid w:val="00B6248F"/>
    <w:rsid w:val="00B6254E"/>
    <w:rsid w:val="00B62EDC"/>
    <w:rsid w:val="00B64A34"/>
    <w:rsid w:val="00B70DFE"/>
    <w:rsid w:val="00B72CD1"/>
    <w:rsid w:val="00B731D3"/>
    <w:rsid w:val="00B75579"/>
    <w:rsid w:val="00B75ACC"/>
    <w:rsid w:val="00B75B57"/>
    <w:rsid w:val="00B811B3"/>
    <w:rsid w:val="00B81856"/>
    <w:rsid w:val="00B81B72"/>
    <w:rsid w:val="00B82470"/>
    <w:rsid w:val="00B82DF6"/>
    <w:rsid w:val="00B839A3"/>
    <w:rsid w:val="00B8400D"/>
    <w:rsid w:val="00B85520"/>
    <w:rsid w:val="00B8604D"/>
    <w:rsid w:val="00B871AC"/>
    <w:rsid w:val="00B902BD"/>
    <w:rsid w:val="00B931C4"/>
    <w:rsid w:val="00B9406D"/>
    <w:rsid w:val="00B962D1"/>
    <w:rsid w:val="00BA01AE"/>
    <w:rsid w:val="00BA0F0B"/>
    <w:rsid w:val="00BA1009"/>
    <w:rsid w:val="00BA2EDC"/>
    <w:rsid w:val="00BA3082"/>
    <w:rsid w:val="00BA34A0"/>
    <w:rsid w:val="00BA3B3A"/>
    <w:rsid w:val="00BA4DCC"/>
    <w:rsid w:val="00BA55D3"/>
    <w:rsid w:val="00BA5D29"/>
    <w:rsid w:val="00BA6E62"/>
    <w:rsid w:val="00BB3F3F"/>
    <w:rsid w:val="00BB5407"/>
    <w:rsid w:val="00BB56A9"/>
    <w:rsid w:val="00BB6D72"/>
    <w:rsid w:val="00BC1D5B"/>
    <w:rsid w:val="00BC3943"/>
    <w:rsid w:val="00BC576D"/>
    <w:rsid w:val="00BC60B7"/>
    <w:rsid w:val="00BD2A39"/>
    <w:rsid w:val="00BD2E80"/>
    <w:rsid w:val="00BD3496"/>
    <w:rsid w:val="00BD49FF"/>
    <w:rsid w:val="00BD4B64"/>
    <w:rsid w:val="00BD5199"/>
    <w:rsid w:val="00BD6CF7"/>
    <w:rsid w:val="00BD77E1"/>
    <w:rsid w:val="00BE001D"/>
    <w:rsid w:val="00BE11B8"/>
    <w:rsid w:val="00BE3B59"/>
    <w:rsid w:val="00BE4139"/>
    <w:rsid w:val="00BE5E10"/>
    <w:rsid w:val="00BE61C5"/>
    <w:rsid w:val="00BF590D"/>
    <w:rsid w:val="00BF7FF0"/>
    <w:rsid w:val="00C0061A"/>
    <w:rsid w:val="00C00C20"/>
    <w:rsid w:val="00C0124F"/>
    <w:rsid w:val="00C01EB9"/>
    <w:rsid w:val="00C02296"/>
    <w:rsid w:val="00C027A0"/>
    <w:rsid w:val="00C04D76"/>
    <w:rsid w:val="00C10A33"/>
    <w:rsid w:val="00C11AEA"/>
    <w:rsid w:val="00C11E32"/>
    <w:rsid w:val="00C12283"/>
    <w:rsid w:val="00C12502"/>
    <w:rsid w:val="00C12FE7"/>
    <w:rsid w:val="00C1601B"/>
    <w:rsid w:val="00C230F7"/>
    <w:rsid w:val="00C237D6"/>
    <w:rsid w:val="00C23947"/>
    <w:rsid w:val="00C24C9D"/>
    <w:rsid w:val="00C25800"/>
    <w:rsid w:val="00C26B3B"/>
    <w:rsid w:val="00C31554"/>
    <w:rsid w:val="00C32EDB"/>
    <w:rsid w:val="00C34833"/>
    <w:rsid w:val="00C34EFE"/>
    <w:rsid w:val="00C365D3"/>
    <w:rsid w:val="00C40AA5"/>
    <w:rsid w:val="00C419D0"/>
    <w:rsid w:val="00C4253C"/>
    <w:rsid w:val="00C42FCB"/>
    <w:rsid w:val="00C45043"/>
    <w:rsid w:val="00C45541"/>
    <w:rsid w:val="00C464A7"/>
    <w:rsid w:val="00C46F70"/>
    <w:rsid w:val="00C476D0"/>
    <w:rsid w:val="00C50969"/>
    <w:rsid w:val="00C52D50"/>
    <w:rsid w:val="00C5521A"/>
    <w:rsid w:val="00C55F72"/>
    <w:rsid w:val="00C60D78"/>
    <w:rsid w:val="00C61EFA"/>
    <w:rsid w:val="00C630F2"/>
    <w:rsid w:val="00C6408C"/>
    <w:rsid w:val="00C6434A"/>
    <w:rsid w:val="00C659B5"/>
    <w:rsid w:val="00C664DB"/>
    <w:rsid w:val="00C66DFF"/>
    <w:rsid w:val="00C70BE5"/>
    <w:rsid w:val="00C7287E"/>
    <w:rsid w:val="00C74398"/>
    <w:rsid w:val="00C75969"/>
    <w:rsid w:val="00C75F39"/>
    <w:rsid w:val="00C766C5"/>
    <w:rsid w:val="00C77588"/>
    <w:rsid w:val="00C81D2D"/>
    <w:rsid w:val="00C822C6"/>
    <w:rsid w:val="00C830B9"/>
    <w:rsid w:val="00C834D3"/>
    <w:rsid w:val="00C836E3"/>
    <w:rsid w:val="00C836FF"/>
    <w:rsid w:val="00C84DFF"/>
    <w:rsid w:val="00C854DC"/>
    <w:rsid w:val="00C85686"/>
    <w:rsid w:val="00C86577"/>
    <w:rsid w:val="00C87158"/>
    <w:rsid w:val="00C91A4F"/>
    <w:rsid w:val="00C91C02"/>
    <w:rsid w:val="00C92C4A"/>
    <w:rsid w:val="00C92E07"/>
    <w:rsid w:val="00C93EB1"/>
    <w:rsid w:val="00C96868"/>
    <w:rsid w:val="00C96BD1"/>
    <w:rsid w:val="00C975E4"/>
    <w:rsid w:val="00CA0416"/>
    <w:rsid w:val="00CA3032"/>
    <w:rsid w:val="00CA4426"/>
    <w:rsid w:val="00CA5734"/>
    <w:rsid w:val="00CA62C8"/>
    <w:rsid w:val="00CB115C"/>
    <w:rsid w:val="00CB553A"/>
    <w:rsid w:val="00CB568B"/>
    <w:rsid w:val="00CB5C7A"/>
    <w:rsid w:val="00CC3764"/>
    <w:rsid w:val="00CC3A35"/>
    <w:rsid w:val="00CC3DCE"/>
    <w:rsid w:val="00CC52A9"/>
    <w:rsid w:val="00CC5468"/>
    <w:rsid w:val="00CC560B"/>
    <w:rsid w:val="00CC6B0D"/>
    <w:rsid w:val="00CC75E2"/>
    <w:rsid w:val="00CD435F"/>
    <w:rsid w:val="00CD46EB"/>
    <w:rsid w:val="00CD7970"/>
    <w:rsid w:val="00CD79DA"/>
    <w:rsid w:val="00CD7EBF"/>
    <w:rsid w:val="00CE0D47"/>
    <w:rsid w:val="00CE1D03"/>
    <w:rsid w:val="00CE28A6"/>
    <w:rsid w:val="00CE4156"/>
    <w:rsid w:val="00CF1E9A"/>
    <w:rsid w:val="00CF4E61"/>
    <w:rsid w:val="00D004F9"/>
    <w:rsid w:val="00D00DFA"/>
    <w:rsid w:val="00D056F1"/>
    <w:rsid w:val="00D06524"/>
    <w:rsid w:val="00D06616"/>
    <w:rsid w:val="00D12885"/>
    <w:rsid w:val="00D129A1"/>
    <w:rsid w:val="00D13D86"/>
    <w:rsid w:val="00D144D7"/>
    <w:rsid w:val="00D15A08"/>
    <w:rsid w:val="00D15FC5"/>
    <w:rsid w:val="00D175E0"/>
    <w:rsid w:val="00D21669"/>
    <w:rsid w:val="00D22D3B"/>
    <w:rsid w:val="00D23DB6"/>
    <w:rsid w:val="00D263C3"/>
    <w:rsid w:val="00D30AE2"/>
    <w:rsid w:val="00D32178"/>
    <w:rsid w:val="00D322B7"/>
    <w:rsid w:val="00D34721"/>
    <w:rsid w:val="00D351A6"/>
    <w:rsid w:val="00D3724D"/>
    <w:rsid w:val="00D37533"/>
    <w:rsid w:val="00D4051B"/>
    <w:rsid w:val="00D40A15"/>
    <w:rsid w:val="00D40A5F"/>
    <w:rsid w:val="00D40E03"/>
    <w:rsid w:val="00D41071"/>
    <w:rsid w:val="00D42457"/>
    <w:rsid w:val="00D43AE8"/>
    <w:rsid w:val="00D463FB"/>
    <w:rsid w:val="00D50FED"/>
    <w:rsid w:val="00D5153D"/>
    <w:rsid w:val="00D51707"/>
    <w:rsid w:val="00D51A95"/>
    <w:rsid w:val="00D52030"/>
    <w:rsid w:val="00D534EC"/>
    <w:rsid w:val="00D54EBB"/>
    <w:rsid w:val="00D55414"/>
    <w:rsid w:val="00D57EE3"/>
    <w:rsid w:val="00D60568"/>
    <w:rsid w:val="00D605D2"/>
    <w:rsid w:val="00D61C33"/>
    <w:rsid w:val="00D62EE8"/>
    <w:rsid w:val="00D635A8"/>
    <w:rsid w:val="00D63711"/>
    <w:rsid w:val="00D65814"/>
    <w:rsid w:val="00D66E70"/>
    <w:rsid w:val="00D66ECB"/>
    <w:rsid w:val="00D67909"/>
    <w:rsid w:val="00D70BE1"/>
    <w:rsid w:val="00D70C7A"/>
    <w:rsid w:val="00D71DAA"/>
    <w:rsid w:val="00D72A29"/>
    <w:rsid w:val="00D76999"/>
    <w:rsid w:val="00D801FB"/>
    <w:rsid w:val="00D80303"/>
    <w:rsid w:val="00D80636"/>
    <w:rsid w:val="00D834E5"/>
    <w:rsid w:val="00D84457"/>
    <w:rsid w:val="00D86625"/>
    <w:rsid w:val="00D87F72"/>
    <w:rsid w:val="00D907CF"/>
    <w:rsid w:val="00D92A7A"/>
    <w:rsid w:val="00D9324E"/>
    <w:rsid w:val="00D975C3"/>
    <w:rsid w:val="00DA10A8"/>
    <w:rsid w:val="00DA2FE9"/>
    <w:rsid w:val="00DA665A"/>
    <w:rsid w:val="00DA7ED0"/>
    <w:rsid w:val="00DB045E"/>
    <w:rsid w:val="00DB07E1"/>
    <w:rsid w:val="00DB123A"/>
    <w:rsid w:val="00DB1E08"/>
    <w:rsid w:val="00DB2312"/>
    <w:rsid w:val="00DB2627"/>
    <w:rsid w:val="00DB2973"/>
    <w:rsid w:val="00DB4A95"/>
    <w:rsid w:val="00DB4E1D"/>
    <w:rsid w:val="00DB70CB"/>
    <w:rsid w:val="00DB7D5C"/>
    <w:rsid w:val="00DC064C"/>
    <w:rsid w:val="00DC08B6"/>
    <w:rsid w:val="00DC0FBA"/>
    <w:rsid w:val="00DC1B56"/>
    <w:rsid w:val="00DC20CC"/>
    <w:rsid w:val="00DC2129"/>
    <w:rsid w:val="00DC2AC8"/>
    <w:rsid w:val="00DC48A0"/>
    <w:rsid w:val="00DC48BC"/>
    <w:rsid w:val="00DC4F4B"/>
    <w:rsid w:val="00DC62E5"/>
    <w:rsid w:val="00DC6414"/>
    <w:rsid w:val="00DC6570"/>
    <w:rsid w:val="00DD265C"/>
    <w:rsid w:val="00DD3703"/>
    <w:rsid w:val="00DD3A96"/>
    <w:rsid w:val="00DD4A8F"/>
    <w:rsid w:val="00DD5C98"/>
    <w:rsid w:val="00DE5528"/>
    <w:rsid w:val="00DF1C86"/>
    <w:rsid w:val="00DF25C3"/>
    <w:rsid w:val="00DF3759"/>
    <w:rsid w:val="00DF4277"/>
    <w:rsid w:val="00DF67CD"/>
    <w:rsid w:val="00DF6D17"/>
    <w:rsid w:val="00DF70D2"/>
    <w:rsid w:val="00DF7C1C"/>
    <w:rsid w:val="00DF7C26"/>
    <w:rsid w:val="00E00921"/>
    <w:rsid w:val="00E036A4"/>
    <w:rsid w:val="00E04062"/>
    <w:rsid w:val="00E063C6"/>
    <w:rsid w:val="00E121BF"/>
    <w:rsid w:val="00E20028"/>
    <w:rsid w:val="00E2003B"/>
    <w:rsid w:val="00E21617"/>
    <w:rsid w:val="00E24ED0"/>
    <w:rsid w:val="00E25E09"/>
    <w:rsid w:val="00E260E2"/>
    <w:rsid w:val="00E26887"/>
    <w:rsid w:val="00E26FEF"/>
    <w:rsid w:val="00E279D8"/>
    <w:rsid w:val="00E30092"/>
    <w:rsid w:val="00E31858"/>
    <w:rsid w:val="00E319B1"/>
    <w:rsid w:val="00E327A6"/>
    <w:rsid w:val="00E33959"/>
    <w:rsid w:val="00E4180F"/>
    <w:rsid w:val="00E41BE5"/>
    <w:rsid w:val="00E4288A"/>
    <w:rsid w:val="00E429D5"/>
    <w:rsid w:val="00E47CAE"/>
    <w:rsid w:val="00E50D9F"/>
    <w:rsid w:val="00E52D70"/>
    <w:rsid w:val="00E5492F"/>
    <w:rsid w:val="00E54DA5"/>
    <w:rsid w:val="00E55393"/>
    <w:rsid w:val="00E55FA0"/>
    <w:rsid w:val="00E572B1"/>
    <w:rsid w:val="00E6035D"/>
    <w:rsid w:val="00E61063"/>
    <w:rsid w:val="00E62035"/>
    <w:rsid w:val="00E64CAC"/>
    <w:rsid w:val="00E661E8"/>
    <w:rsid w:val="00E70A86"/>
    <w:rsid w:val="00E7218F"/>
    <w:rsid w:val="00E7256C"/>
    <w:rsid w:val="00E72B04"/>
    <w:rsid w:val="00E7326E"/>
    <w:rsid w:val="00E737E4"/>
    <w:rsid w:val="00E73E50"/>
    <w:rsid w:val="00E744DF"/>
    <w:rsid w:val="00E75007"/>
    <w:rsid w:val="00E75FD2"/>
    <w:rsid w:val="00E7651E"/>
    <w:rsid w:val="00E77743"/>
    <w:rsid w:val="00E777EC"/>
    <w:rsid w:val="00E80FCD"/>
    <w:rsid w:val="00E81A7E"/>
    <w:rsid w:val="00E85257"/>
    <w:rsid w:val="00E93214"/>
    <w:rsid w:val="00E949EE"/>
    <w:rsid w:val="00E952ED"/>
    <w:rsid w:val="00E97300"/>
    <w:rsid w:val="00E97A3C"/>
    <w:rsid w:val="00EA0A18"/>
    <w:rsid w:val="00EA24E2"/>
    <w:rsid w:val="00EA32EB"/>
    <w:rsid w:val="00EA490D"/>
    <w:rsid w:val="00EA6EFA"/>
    <w:rsid w:val="00EA7729"/>
    <w:rsid w:val="00EA7F2F"/>
    <w:rsid w:val="00EB0964"/>
    <w:rsid w:val="00EB3A02"/>
    <w:rsid w:val="00EB63B3"/>
    <w:rsid w:val="00EB6590"/>
    <w:rsid w:val="00EB7B5A"/>
    <w:rsid w:val="00EC00DE"/>
    <w:rsid w:val="00EC1EAA"/>
    <w:rsid w:val="00EC1F3B"/>
    <w:rsid w:val="00EC21DF"/>
    <w:rsid w:val="00EC2420"/>
    <w:rsid w:val="00EC2839"/>
    <w:rsid w:val="00EC30E1"/>
    <w:rsid w:val="00EC3436"/>
    <w:rsid w:val="00EC3438"/>
    <w:rsid w:val="00EC36C9"/>
    <w:rsid w:val="00EC3F20"/>
    <w:rsid w:val="00EC4466"/>
    <w:rsid w:val="00EC5192"/>
    <w:rsid w:val="00EC52C7"/>
    <w:rsid w:val="00EC64DE"/>
    <w:rsid w:val="00EC6587"/>
    <w:rsid w:val="00EC66BB"/>
    <w:rsid w:val="00EC6841"/>
    <w:rsid w:val="00EC6CEF"/>
    <w:rsid w:val="00ED0EBC"/>
    <w:rsid w:val="00ED172A"/>
    <w:rsid w:val="00ED196A"/>
    <w:rsid w:val="00ED26D5"/>
    <w:rsid w:val="00ED4B84"/>
    <w:rsid w:val="00ED54A0"/>
    <w:rsid w:val="00ED75C6"/>
    <w:rsid w:val="00EE01DC"/>
    <w:rsid w:val="00EE147C"/>
    <w:rsid w:val="00EE215E"/>
    <w:rsid w:val="00EE3298"/>
    <w:rsid w:val="00EE3881"/>
    <w:rsid w:val="00EE4671"/>
    <w:rsid w:val="00EE47F3"/>
    <w:rsid w:val="00EF00DF"/>
    <w:rsid w:val="00EF20B8"/>
    <w:rsid w:val="00EF2E48"/>
    <w:rsid w:val="00EF3863"/>
    <w:rsid w:val="00F06FEC"/>
    <w:rsid w:val="00F07AB6"/>
    <w:rsid w:val="00F1136C"/>
    <w:rsid w:val="00F11DF6"/>
    <w:rsid w:val="00F13F99"/>
    <w:rsid w:val="00F14AB3"/>
    <w:rsid w:val="00F14BEC"/>
    <w:rsid w:val="00F16B80"/>
    <w:rsid w:val="00F224B7"/>
    <w:rsid w:val="00F225C5"/>
    <w:rsid w:val="00F2587A"/>
    <w:rsid w:val="00F26030"/>
    <w:rsid w:val="00F26223"/>
    <w:rsid w:val="00F27B8B"/>
    <w:rsid w:val="00F27B8E"/>
    <w:rsid w:val="00F27DFD"/>
    <w:rsid w:val="00F31482"/>
    <w:rsid w:val="00F32D3F"/>
    <w:rsid w:val="00F3310E"/>
    <w:rsid w:val="00F33470"/>
    <w:rsid w:val="00F34799"/>
    <w:rsid w:val="00F34E02"/>
    <w:rsid w:val="00F36790"/>
    <w:rsid w:val="00F36A4E"/>
    <w:rsid w:val="00F3715D"/>
    <w:rsid w:val="00F373B4"/>
    <w:rsid w:val="00F37A10"/>
    <w:rsid w:val="00F420C8"/>
    <w:rsid w:val="00F42A4C"/>
    <w:rsid w:val="00F43841"/>
    <w:rsid w:val="00F4555C"/>
    <w:rsid w:val="00F47EB1"/>
    <w:rsid w:val="00F51853"/>
    <w:rsid w:val="00F526BD"/>
    <w:rsid w:val="00F52FC9"/>
    <w:rsid w:val="00F56644"/>
    <w:rsid w:val="00F56BA8"/>
    <w:rsid w:val="00F61814"/>
    <w:rsid w:val="00F619C0"/>
    <w:rsid w:val="00F6214C"/>
    <w:rsid w:val="00F634A1"/>
    <w:rsid w:val="00F63FC7"/>
    <w:rsid w:val="00F6598B"/>
    <w:rsid w:val="00F6601C"/>
    <w:rsid w:val="00F71812"/>
    <w:rsid w:val="00F734E2"/>
    <w:rsid w:val="00F739E7"/>
    <w:rsid w:val="00F73A59"/>
    <w:rsid w:val="00F7646F"/>
    <w:rsid w:val="00F777E3"/>
    <w:rsid w:val="00F82C30"/>
    <w:rsid w:val="00F83EA3"/>
    <w:rsid w:val="00F85FF4"/>
    <w:rsid w:val="00F8644B"/>
    <w:rsid w:val="00F904F9"/>
    <w:rsid w:val="00F90F1D"/>
    <w:rsid w:val="00F91B6E"/>
    <w:rsid w:val="00F925F8"/>
    <w:rsid w:val="00F97D8F"/>
    <w:rsid w:val="00FA0F7D"/>
    <w:rsid w:val="00FA1A3F"/>
    <w:rsid w:val="00FA1D49"/>
    <w:rsid w:val="00FA3873"/>
    <w:rsid w:val="00FA462C"/>
    <w:rsid w:val="00FA4E4F"/>
    <w:rsid w:val="00FB134A"/>
    <w:rsid w:val="00FB5389"/>
    <w:rsid w:val="00FB7512"/>
    <w:rsid w:val="00FC41C2"/>
    <w:rsid w:val="00FD2BAD"/>
    <w:rsid w:val="00FD2F56"/>
    <w:rsid w:val="00FD39AD"/>
    <w:rsid w:val="00FD7547"/>
    <w:rsid w:val="00FD7DB3"/>
    <w:rsid w:val="00FE1EEB"/>
    <w:rsid w:val="00FE287B"/>
    <w:rsid w:val="00FE31A7"/>
    <w:rsid w:val="00FE5128"/>
    <w:rsid w:val="00FE6B50"/>
    <w:rsid w:val="00FE7A74"/>
    <w:rsid w:val="00FF104F"/>
    <w:rsid w:val="00FF2EFD"/>
    <w:rsid w:val="00FF3257"/>
    <w:rsid w:val="00FF432D"/>
    <w:rsid w:val="00FF4864"/>
    <w:rsid w:val="00FF4C6D"/>
    <w:rsid w:val="00FF5F5C"/>
    <w:rsid w:val="00FF767F"/>
    <w:rsid w:val="00FF7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header" w:uiPriority="99"/>
    <w:lsdException w:name="footer"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qFormat="1"/>
    <w:lsdException w:name="Emphasis" w:uiPriority="20"/>
    <w:lsdException w:name="Normal (Web)" w:uiPriority="99"/>
    <w:lsdException w:name="HTML Cite"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705592"/>
    <w:pPr>
      <w:spacing w:before="120" w:after="120"/>
      <w:ind w:left="567" w:hanging="567"/>
    </w:pPr>
    <w:rPr>
      <w:rFonts w:cstheme="minorHAnsi"/>
      <w:b/>
      <w:bCs/>
      <w:caps/>
      <w:szCs w:val="20"/>
    </w:rPr>
  </w:style>
  <w:style w:type="paragraph" w:styleId="TOC2">
    <w:name w:val="toc 2"/>
    <w:basedOn w:val="Normal"/>
    <w:next w:val="Normal"/>
    <w:autoRedefine/>
    <w:uiPriority w:val="39"/>
    <w:rsid w:val="00657D96"/>
    <w:pPr>
      <w:tabs>
        <w:tab w:val="right" w:leader="dot" w:pos="9016"/>
      </w:tabs>
      <w:spacing w:after="120"/>
      <w:ind w:left="1134" w:right="284" w:hanging="567"/>
    </w:pPr>
    <w:rPr>
      <w:rFonts w:cstheme="minorHAnsi"/>
      <w:smallCaps/>
      <w:noProof/>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72062E"/>
    <w:pPr>
      <w:numPr>
        <w:numId w:val="8"/>
      </w:numPr>
      <w:ind w:left="567" w:hanging="567"/>
    </w:pPr>
    <w:rPr>
      <w:rFonts w:cs="Arial"/>
    </w:rPr>
  </w:style>
  <w:style w:type="character" w:customStyle="1" w:styleId="FSBulletChar">
    <w:name w:val="FS Bullet Char"/>
    <w:basedOn w:val="DefaultParagraphFont"/>
    <w:link w:val="FSBullet"/>
    <w:rsid w:val="0072062E"/>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paragraph" w:customStyle="1" w:styleId="Title1">
    <w:name w:val="Title1"/>
    <w:basedOn w:val="Normal"/>
    <w:rsid w:val="00D40A15"/>
    <w:pPr>
      <w:widowControl/>
      <w:spacing w:before="100" w:beforeAutospacing="1" w:after="100" w:afterAutospacing="1"/>
    </w:pPr>
    <w:rPr>
      <w:rFonts w:cs="Arial"/>
      <w:b/>
      <w:bCs/>
      <w:color w:val="666666"/>
      <w:sz w:val="27"/>
      <w:szCs w:val="27"/>
      <w:lang w:val="en-AU" w:eastAsia="en-AU" w:bidi="ar-SA"/>
    </w:rPr>
  </w:style>
  <w:style w:type="character" w:styleId="Strong">
    <w:name w:val="Strong"/>
    <w:basedOn w:val="DefaultParagraphFont"/>
    <w:uiPriority w:val="22"/>
    <w:qFormat/>
    <w:rsid w:val="00D40A15"/>
    <w:rPr>
      <w:b/>
      <w:bCs/>
    </w:rPr>
  </w:style>
  <w:style w:type="character" w:customStyle="1" w:styleId="FootnoteTextChar">
    <w:name w:val="Footnote Text Char"/>
    <w:aliases w:val="Footnotes Text Char,FSFootnotes Text Char"/>
    <w:basedOn w:val="DefaultParagraphFont"/>
    <w:link w:val="FootnoteText"/>
    <w:uiPriority w:val="5"/>
    <w:rsid w:val="006F61A7"/>
    <w:rPr>
      <w:rFonts w:ascii="Arial" w:hAnsi="Arial"/>
      <w:lang w:eastAsia="en-US" w:bidi="en-US"/>
    </w:rPr>
  </w:style>
  <w:style w:type="paragraph" w:styleId="NormalWeb">
    <w:name w:val="Normal (Web)"/>
    <w:basedOn w:val="Normal"/>
    <w:uiPriority w:val="99"/>
    <w:unhideWhenUsed/>
    <w:rsid w:val="000E6824"/>
    <w:pPr>
      <w:widowControl/>
      <w:spacing w:before="100" w:beforeAutospacing="1" w:after="100" w:afterAutospacing="1"/>
    </w:pPr>
    <w:rPr>
      <w:rFonts w:ascii="Times New Roman" w:hAnsi="Times New Roman"/>
      <w:sz w:val="24"/>
      <w:lang w:val="en-AU" w:eastAsia="en-AU" w:bidi="ar-SA"/>
    </w:rPr>
  </w:style>
  <w:style w:type="character" w:customStyle="1" w:styleId="HeaderChar">
    <w:name w:val="Header Char"/>
    <w:basedOn w:val="DefaultParagraphFont"/>
    <w:link w:val="Header"/>
    <w:uiPriority w:val="99"/>
    <w:rsid w:val="008567FF"/>
    <w:rPr>
      <w:rFonts w:ascii="Arial" w:hAnsi="Arial"/>
      <w:sz w:val="22"/>
      <w:szCs w:val="24"/>
      <w:lang w:eastAsia="en-US" w:bidi="en-US"/>
    </w:rPr>
  </w:style>
  <w:style w:type="paragraph" w:customStyle="1" w:styleId="MincoHeading">
    <w:name w:val="Minco Heading"/>
    <w:basedOn w:val="Normal"/>
    <w:uiPriority w:val="99"/>
    <w:rsid w:val="00CB553A"/>
    <w:pPr>
      <w:widowControl/>
      <w:jc w:val="center"/>
    </w:pPr>
    <w:rPr>
      <w:rFonts w:ascii="Times New Roman" w:hAnsi="Times New Roman"/>
      <w:b/>
      <w:bCs/>
      <w:sz w:val="24"/>
      <w:lang w:val="en-AU" w:eastAsia="en-AU" w:bidi="ar-SA"/>
    </w:rPr>
  </w:style>
  <w:style w:type="character" w:customStyle="1" w:styleId="authordegrees">
    <w:name w:val="authordegrees"/>
    <w:basedOn w:val="DefaultParagraphFont"/>
    <w:rsid w:val="00A11011"/>
    <w:rPr>
      <w:sz w:val="24"/>
      <w:szCs w:val="24"/>
      <w:bdr w:val="none" w:sz="0" w:space="0" w:color="auto" w:frame="1"/>
      <w:vertAlign w:val="baseline"/>
    </w:rPr>
  </w:style>
  <w:style w:type="character" w:customStyle="1" w:styleId="authorroles">
    <w:name w:val="authorroles"/>
    <w:basedOn w:val="DefaultParagraphFont"/>
    <w:rsid w:val="00A11011"/>
    <w:rPr>
      <w:sz w:val="24"/>
      <w:szCs w:val="24"/>
      <w:bdr w:val="none" w:sz="0" w:space="0" w:color="auto" w:frame="1"/>
      <w:vertAlign w:val="baseline"/>
    </w:rPr>
  </w:style>
  <w:style w:type="character" w:styleId="HTMLCite">
    <w:name w:val="HTML Cite"/>
    <w:basedOn w:val="DefaultParagraphFont"/>
    <w:uiPriority w:val="99"/>
    <w:unhideWhenUsed/>
    <w:rsid w:val="006B78C9"/>
    <w:rPr>
      <w:i/>
      <w:iCs/>
    </w:rPr>
  </w:style>
  <w:style w:type="character" w:customStyle="1" w:styleId="normalchar">
    <w:name w:val="normal_char"/>
    <w:rsid w:val="000D2AFB"/>
    <w:rPr>
      <w:color w:val="auto"/>
    </w:rPr>
  </w:style>
  <w:style w:type="paragraph" w:customStyle="1" w:styleId="ISCbulleted">
    <w:name w:val="ISC bulleted"/>
    <w:basedOn w:val="Normal"/>
    <w:uiPriority w:val="99"/>
    <w:rsid w:val="0033705E"/>
    <w:pPr>
      <w:widowControl/>
      <w:numPr>
        <w:numId w:val="12"/>
      </w:numPr>
      <w:tabs>
        <w:tab w:val="left" w:pos="567"/>
      </w:tabs>
      <w:spacing w:after="120"/>
    </w:pPr>
    <w:rPr>
      <w:rFonts w:ascii="Times New Roman" w:hAnsi="Times New Roman"/>
      <w:sz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5" w:qFormat="1"/>
    <w:lsdException w:name="header" w:uiPriority="99"/>
    <w:lsdException w:name="footer" w:uiPriority="99"/>
    <w:lsdException w:name="caption" w:semiHidden="1" w:unhideWhenUsed="1"/>
    <w:lsdException w:name="footnote reference" w:uiPriority="99"/>
    <w:lsdException w:name="Title" w:uiPriority="10"/>
    <w:lsdException w:name="Subtitle" w:uiPriority="11"/>
    <w:lsdException w:name="Hyperlink" w:uiPriority="99"/>
    <w:lsdException w:name="Strong" w:uiPriority="22" w:qFormat="1"/>
    <w:lsdException w:name="Emphasis" w:uiPriority="20"/>
    <w:lsdException w:name="Normal (Web)" w:uiPriority="99"/>
    <w:lsdException w:name="HTML Cite"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uiPriority w:val="99"/>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qFormat/>
    <w:rsid w:val="007602AA"/>
    <w:pPr>
      <w:numPr>
        <w:numId w:val="1"/>
      </w:numPr>
      <w:ind w:left="1134" w:hanging="567"/>
    </w:pPr>
  </w:style>
  <w:style w:type="paragraph" w:styleId="TOC1">
    <w:name w:val="toc 1"/>
    <w:basedOn w:val="Normal"/>
    <w:next w:val="Normal"/>
    <w:autoRedefine/>
    <w:uiPriority w:val="39"/>
    <w:rsid w:val="00705592"/>
    <w:pPr>
      <w:spacing w:before="120" w:after="120"/>
      <w:ind w:left="567" w:hanging="567"/>
    </w:pPr>
    <w:rPr>
      <w:rFonts w:cstheme="minorHAnsi"/>
      <w:b/>
      <w:bCs/>
      <w:caps/>
      <w:szCs w:val="20"/>
    </w:rPr>
  </w:style>
  <w:style w:type="paragraph" w:styleId="TOC2">
    <w:name w:val="toc 2"/>
    <w:basedOn w:val="Normal"/>
    <w:next w:val="Normal"/>
    <w:autoRedefine/>
    <w:uiPriority w:val="39"/>
    <w:rsid w:val="00657D96"/>
    <w:pPr>
      <w:tabs>
        <w:tab w:val="right" w:leader="dot" w:pos="9016"/>
      </w:tabs>
      <w:spacing w:after="120"/>
      <w:ind w:left="1134" w:right="284" w:hanging="567"/>
    </w:pPr>
    <w:rPr>
      <w:rFonts w:cstheme="minorHAnsi"/>
      <w:smallCaps/>
      <w:noProof/>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1E3158"/>
    <w:pPr>
      <w:ind w:left="440"/>
    </w:pPr>
    <w:rPr>
      <w:rFonts w:cstheme="minorHAnsi"/>
      <w:i/>
      <w:iCs/>
      <w:szCs w:val="20"/>
    </w:rPr>
  </w:style>
  <w:style w:type="paragraph" w:styleId="TOC4">
    <w:name w:val="toc 4"/>
    <w:basedOn w:val="Normal"/>
    <w:next w:val="Normal"/>
    <w:autoRedefine/>
    <w:semiHidden/>
    <w:rsid w:val="001E3158"/>
    <w:pPr>
      <w:ind w:left="660"/>
    </w:pPr>
    <w:rPr>
      <w:rFonts w:cstheme="minorHAnsi"/>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CC5468"/>
    <w:pPr>
      <w:keepNext/>
      <w:jc w:val="center"/>
    </w:pPr>
    <w:rPr>
      <w:iCs/>
      <w:smallCaps/>
      <w:sz w:val="18"/>
      <w:szCs w:val="20"/>
    </w:rPr>
  </w:style>
  <w:style w:type="paragraph" w:customStyle="1" w:styleId="142tableheading1">
    <w:name w:val="1.4.2 table heading1"/>
    <w:basedOn w:val="142Tableheading2"/>
    <w:rsid w:val="00CC5468"/>
    <w:rPr>
      <w:b/>
      <w:bCs/>
      <w:iCs w:val="0"/>
    </w:rPr>
  </w:style>
  <w:style w:type="paragraph" w:customStyle="1" w:styleId="142tabletext1">
    <w:name w:val="1.4.2 table text1"/>
    <w:basedOn w:val="Normal"/>
    <w:rsid w:val="00CC5468"/>
    <w:pPr>
      <w:ind w:left="142" w:hanging="142"/>
    </w:pPr>
    <w:rPr>
      <w:smallCaps/>
      <w:sz w:val="18"/>
      <w:szCs w:val="20"/>
    </w:rPr>
  </w:style>
  <w:style w:type="paragraph" w:customStyle="1" w:styleId="142tabletext2">
    <w:name w:val="1.4.2 table text2"/>
    <w:basedOn w:val="142tabletext1"/>
    <w:rsid w:val="00A318EB"/>
    <w:pPr>
      <w:jc w:val="right"/>
    </w:pPr>
  </w:style>
  <w:style w:type="paragraph" w:customStyle="1" w:styleId="Clause">
    <w:name w:val="Clause"/>
    <w:basedOn w:val="Normal"/>
    <w:next w:val="Normal"/>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A318EB"/>
    <w:pPr>
      <w:tabs>
        <w:tab w:val="left" w:pos="851"/>
      </w:tabs>
    </w:pPr>
    <w:rPr>
      <w:sz w:val="20"/>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
    <w:basedOn w:val="Normal"/>
    <w:link w:val="FootnoteTextChar"/>
    <w:uiPriority w:val="5"/>
    <w:qFormat/>
    <w:rsid w:val="00A318EB"/>
    <w:rPr>
      <w:sz w:val="20"/>
      <w:szCs w:val="20"/>
    </w:rPr>
  </w:style>
  <w:style w:type="character" w:styleId="FootnoteReference">
    <w:name w:val="footnote reference"/>
    <w:basedOn w:val="DefaultParagraphFont"/>
    <w:uiPriority w:val="99"/>
    <w:semiHidden/>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72062E"/>
    <w:pPr>
      <w:numPr>
        <w:numId w:val="8"/>
      </w:numPr>
      <w:ind w:left="567" w:hanging="567"/>
    </w:pPr>
    <w:rPr>
      <w:rFonts w:cs="Arial"/>
    </w:rPr>
  </w:style>
  <w:style w:type="character" w:customStyle="1" w:styleId="FSBulletChar">
    <w:name w:val="FS Bullet Char"/>
    <w:basedOn w:val="DefaultParagraphFont"/>
    <w:link w:val="FSBullet"/>
    <w:rsid w:val="0072062E"/>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uiPriority w:val="6"/>
    <w:qFormat/>
    <w:rsid w:val="00DD265C"/>
    <w:pPr>
      <w:widowControl/>
      <w:numPr>
        <w:numId w:val="2"/>
      </w:numPr>
      <w:ind w:left="567" w:hanging="567"/>
    </w:pPr>
    <w:rPr>
      <w:rFonts w:cs="Arial"/>
      <w:lang w:bidi="ar-SA"/>
    </w:rPr>
  </w:style>
  <w:style w:type="character" w:customStyle="1" w:styleId="FSBullet1Char">
    <w:name w:val="FSBullet 1 Char"/>
    <w:link w:val="FSBullet1"/>
    <w:uiPriority w:val="6"/>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DD265C"/>
    <w:pPr>
      <w:keepNext/>
      <w:widowControl/>
      <w:numPr>
        <w:numId w:val="4"/>
      </w:numPr>
      <w:ind w:left="1701" w:hanging="567"/>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paragraph" w:styleId="ListParagraph">
    <w:name w:val="List Paragraph"/>
    <w:basedOn w:val="Normal"/>
    <w:uiPriority w:val="34"/>
    <w:qFormat/>
    <w:rsid w:val="00666470"/>
    <w:pPr>
      <w:widowControl/>
      <w:ind w:left="720"/>
      <w:contextualSpacing/>
    </w:pPr>
    <w:rPr>
      <w:rFonts w:eastAsiaTheme="minorHAnsi" w:cstheme="minorBidi"/>
      <w:szCs w:val="22"/>
      <w:lang w:bidi="ar-SA"/>
    </w:rPr>
  </w:style>
  <w:style w:type="character" w:customStyle="1" w:styleId="ms-rtefontsize-21">
    <w:name w:val="ms-rtefontsize-21"/>
    <w:basedOn w:val="DefaultParagraphFont"/>
    <w:rsid w:val="00C34EFE"/>
    <w:rPr>
      <w:sz w:val="20"/>
      <w:szCs w:val="20"/>
    </w:rPr>
  </w:style>
  <w:style w:type="paragraph" w:customStyle="1" w:styleId="Title1">
    <w:name w:val="Title1"/>
    <w:basedOn w:val="Normal"/>
    <w:rsid w:val="00D40A15"/>
    <w:pPr>
      <w:widowControl/>
      <w:spacing w:before="100" w:beforeAutospacing="1" w:after="100" w:afterAutospacing="1"/>
    </w:pPr>
    <w:rPr>
      <w:rFonts w:cs="Arial"/>
      <w:b/>
      <w:bCs/>
      <w:color w:val="666666"/>
      <w:sz w:val="27"/>
      <w:szCs w:val="27"/>
      <w:lang w:val="en-AU" w:eastAsia="en-AU" w:bidi="ar-SA"/>
    </w:rPr>
  </w:style>
  <w:style w:type="character" w:styleId="Strong">
    <w:name w:val="Strong"/>
    <w:basedOn w:val="DefaultParagraphFont"/>
    <w:uiPriority w:val="22"/>
    <w:qFormat/>
    <w:rsid w:val="00D40A15"/>
    <w:rPr>
      <w:b/>
      <w:bCs/>
    </w:rPr>
  </w:style>
  <w:style w:type="character" w:customStyle="1" w:styleId="FootnoteTextChar">
    <w:name w:val="Footnote Text Char"/>
    <w:aliases w:val="Footnotes Text Char,FSFootnotes Text Char"/>
    <w:basedOn w:val="DefaultParagraphFont"/>
    <w:link w:val="FootnoteText"/>
    <w:uiPriority w:val="5"/>
    <w:rsid w:val="006F61A7"/>
    <w:rPr>
      <w:rFonts w:ascii="Arial" w:hAnsi="Arial"/>
      <w:lang w:eastAsia="en-US" w:bidi="en-US"/>
    </w:rPr>
  </w:style>
  <w:style w:type="paragraph" w:styleId="NormalWeb">
    <w:name w:val="Normal (Web)"/>
    <w:basedOn w:val="Normal"/>
    <w:uiPriority w:val="99"/>
    <w:unhideWhenUsed/>
    <w:rsid w:val="000E6824"/>
    <w:pPr>
      <w:widowControl/>
      <w:spacing w:before="100" w:beforeAutospacing="1" w:after="100" w:afterAutospacing="1"/>
    </w:pPr>
    <w:rPr>
      <w:rFonts w:ascii="Times New Roman" w:hAnsi="Times New Roman"/>
      <w:sz w:val="24"/>
      <w:lang w:val="en-AU" w:eastAsia="en-AU" w:bidi="ar-SA"/>
    </w:rPr>
  </w:style>
  <w:style w:type="character" w:customStyle="1" w:styleId="HeaderChar">
    <w:name w:val="Header Char"/>
    <w:basedOn w:val="DefaultParagraphFont"/>
    <w:link w:val="Header"/>
    <w:uiPriority w:val="99"/>
    <w:rsid w:val="008567FF"/>
    <w:rPr>
      <w:rFonts w:ascii="Arial" w:hAnsi="Arial"/>
      <w:sz w:val="22"/>
      <w:szCs w:val="24"/>
      <w:lang w:eastAsia="en-US" w:bidi="en-US"/>
    </w:rPr>
  </w:style>
  <w:style w:type="paragraph" w:customStyle="1" w:styleId="MincoHeading">
    <w:name w:val="Minco Heading"/>
    <w:basedOn w:val="Normal"/>
    <w:uiPriority w:val="99"/>
    <w:rsid w:val="00CB553A"/>
    <w:pPr>
      <w:widowControl/>
      <w:jc w:val="center"/>
    </w:pPr>
    <w:rPr>
      <w:rFonts w:ascii="Times New Roman" w:hAnsi="Times New Roman"/>
      <w:b/>
      <w:bCs/>
      <w:sz w:val="24"/>
      <w:lang w:val="en-AU" w:eastAsia="en-AU" w:bidi="ar-SA"/>
    </w:rPr>
  </w:style>
  <w:style w:type="character" w:customStyle="1" w:styleId="authordegrees">
    <w:name w:val="authordegrees"/>
    <w:basedOn w:val="DefaultParagraphFont"/>
    <w:rsid w:val="00A11011"/>
    <w:rPr>
      <w:sz w:val="24"/>
      <w:szCs w:val="24"/>
      <w:bdr w:val="none" w:sz="0" w:space="0" w:color="auto" w:frame="1"/>
      <w:vertAlign w:val="baseline"/>
    </w:rPr>
  </w:style>
  <w:style w:type="character" w:customStyle="1" w:styleId="authorroles">
    <w:name w:val="authorroles"/>
    <w:basedOn w:val="DefaultParagraphFont"/>
    <w:rsid w:val="00A11011"/>
    <w:rPr>
      <w:sz w:val="24"/>
      <w:szCs w:val="24"/>
      <w:bdr w:val="none" w:sz="0" w:space="0" w:color="auto" w:frame="1"/>
      <w:vertAlign w:val="baseline"/>
    </w:rPr>
  </w:style>
  <w:style w:type="character" w:styleId="HTMLCite">
    <w:name w:val="HTML Cite"/>
    <w:basedOn w:val="DefaultParagraphFont"/>
    <w:uiPriority w:val="99"/>
    <w:unhideWhenUsed/>
    <w:rsid w:val="006B78C9"/>
    <w:rPr>
      <w:i/>
      <w:iCs/>
    </w:rPr>
  </w:style>
  <w:style w:type="character" w:customStyle="1" w:styleId="normalchar">
    <w:name w:val="normal_char"/>
    <w:rsid w:val="000D2AFB"/>
    <w:rPr>
      <w:color w:val="auto"/>
    </w:rPr>
  </w:style>
  <w:style w:type="paragraph" w:customStyle="1" w:styleId="ISCbulleted">
    <w:name w:val="ISC bulleted"/>
    <w:basedOn w:val="Normal"/>
    <w:uiPriority w:val="99"/>
    <w:rsid w:val="0033705E"/>
    <w:pPr>
      <w:widowControl/>
      <w:numPr>
        <w:numId w:val="12"/>
      </w:numPr>
      <w:tabs>
        <w:tab w:val="left" w:pos="567"/>
      </w:tabs>
      <w:spacing w:after="120"/>
    </w:pPr>
    <w:rPr>
      <w:rFonts w:ascii="Times New Roman" w:hAnsi="Times New Roman"/>
      <w:sz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5778">
      <w:bodyDiv w:val="1"/>
      <w:marLeft w:val="0"/>
      <w:marRight w:val="0"/>
      <w:marTop w:val="0"/>
      <w:marBottom w:val="0"/>
      <w:divBdr>
        <w:top w:val="none" w:sz="0" w:space="0" w:color="auto"/>
        <w:left w:val="none" w:sz="0" w:space="0" w:color="auto"/>
        <w:bottom w:val="none" w:sz="0" w:space="0" w:color="auto"/>
        <w:right w:val="none" w:sz="0" w:space="0" w:color="auto"/>
      </w:divBdr>
    </w:div>
    <w:div w:id="228464188">
      <w:bodyDiv w:val="1"/>
      <w:marLeft w:val="0"/>
      <w:marRight w:val="0"/>
      <w:marTop w:val="0"/>
      <w:marBottom w:val="0"/>
      <w:divBdr>
        <w:top w:val="none" w:sz="0" w:space="0" w:color="auto"/>
        <w:left w:val="none" w:sz="0" w:space="0" w:color="auto"/>
        <w:bottom w:val="none" w:sz="0" w:space="0" w:color="auto"/>
        <w:right w:val="none" w:sz="0" w:space="0" w:color="auto"/>
      </w:divBdr>
      <w:divsChild>
        <w:div w:id="57017645">
          <w:marLeft w:val="0"/>
          <w:marRight w:val="0"/>
          <w:marTop w:val="0"/>
          <w:marBottom w:val="0"/>
          <w:divBdr>
            <w:top w:val="none" w:sz="0" w:space="0" w:color="auto"/>
            <w:left w:val="none" w:sz="0" w:space="0" w:color="auto"/>
            <w:bottom w:val="none" w:sz="0" w:space="0" w:color="auto"/>
            <w:right w:val="none" w:sz="0" w:space="0" w:color="auto"/>
          </w:divBdr>
          <w:divsChild>
            <w:div w:id="467168357">
              <w:marLeft w:val="0"/>
              <w:marRight w:val="0"/>
              <w:marTop w:val="0"/>
              <w:marBottom w:val="0"/>
              <w:divBdr>
                <w:top w:val="none" w:sz="0" w:space="0" w:color="auto"/>
                <w:left w:val="none" w:sz="0" w:space="0" w:color="auto"/>
                <w:bottom w:val="none" w:sz="0" w:space="0" w:color="auto"/>
                <w:right w:val="none" w:sz="0" w:space="0" w:color="auto"/>
              </w:divBdr>
              <w:divsChild>
                <w:div w:id="1572234875">
                  <w:marLeft w:val="0"/>
                  <w:marRight w:val="0"/>
                  <w:marTop w:val="0"/>
                  <w:marBottom w:val="0"/>
                  <w:divBdr>
                    <w:top w:val="none" w:sz="0" w:space="0" w:color="auto"/>
                    <w:left w:val="none" w:sz="0" w:space="0" w:color="auto"/>
                    <w:bottom w:val="none" w:sz="0" w:space="0" w:color="auto"/>
                    <w:right w:val="none" w:sz="0" w:space="0" w:color="auto"/>
                  </w:divBdr>
                  <w:divsChild>
                    <w:div w:id="1353262685">
                      <w:marLeft w:val="0"/>
                      <w:marRight w:val="0"/>
                      <w:marTop w:val="0"/>
                      <w:marBottom w:val="0"/>
                      <w:divBdr>
                        <w:top w:val="none" w:sz="0" w:space="0" w:color="auto"/>
                        <w:left w:val="none" w:sz="0" w:space="0" w:color="auto"/>
                        <w:bottom w:val="none" w:sz="0" w:space="0" w:color="auto"/>
                        <w:right w:val="none" w:sz="0" w:space="0" w:color="auto"/>
                      </w:divBdr>
                      <w:divsChild>
                        <w:div w:id="2089307036">
                          <w:marLeft w:val="0"/>
                          <w:marRight w:val="0"/>
                          <w:marTop w:val="0"/>
                          <w:marBottom w:val="0"/>
                          <w:divBdr>
                            <w:top w:val="none" w:sz="0" w:space="0" w:color="auto"/>
                            <w:left w:val="none" w:sz="0" w:space="0" w:color="auto"/>
                            <w:bottom w:val="none" w:sz="0" w:space="0" w:color="auto"/>
                            <w:right w:val="none" w:sz="0" w:space="0" w:color="auto"/>
                          </w:divBdr>
                          <w:divsChild>
                            <w:div w:id="956109735">
                              <w:marLeft w:val="0"/>
                              <w:marRight w:val="0"/>
                              <w:marTop w:val="0"/>
                              <w:marBottom w:val="0"/>
                              <w:divBdr>
                                <w:top w:val="none" w:sz="0" w:space="0" w:color="auto"/>
                                <w:left w:val="none" w:sz="0" w:space="0" w:color="auto"/>
                                <w:bottom w:val="none" w:sz="0" w:space="0" w:color="auto"/>
                                <w:right w:val="none" w:sz="0" w:space="0" w:color="auto"/>
                              </w:divBdr>
                              <w:divsChild>
                                <w:div w:id="1529248911">
                                  <w:marLeft w:val="0"/>
                                  <w:marRight w:val="0"/>
                                  <w:marTop w:val="0"/>
                                  <w:marBottom w:val="0"/>
                                  <w:divBdr>
                                    <w:top w:val="none" w:sz="0" w:space="0" w:color="auto"/>
                                    <w:left w:val="none" w:sz="0" w:space="0" w:color="auto"/>
                                    <w:bottom w:val="none" w:sz="0" w:space="0" w:color="auto"/>
                                    <w:right w:val="none" w:sz="0" w:space="0" w:color="auto"/>
                                  </w:divBdr>
                                  <w:divsChild>
                                    <w:div w:id="728236792">
                                      <w:marLeft w:val="0"/>
                                      <w:marRight w:val="0"/>
                                      <w:marTop w:val="0"/>
                                      <w:marBottom w:val="360"/>
                                      <w:divBdr>
                                        <w:top w:val="none" w:sz="0" w:space="0" w:color="auto"/>
                                        <w:left w:val="none" w:sz="0" w:space="0" w:color="auto"/>
                                        <w:bottom w:val="none" w:sz="0" w:space="0" w:color="auto"/>
                                        <w:right w:val="none" w:sz="0" w:space="0" w:color="auto"/>
                                      </w:divBdr>
                                      <w:divsChild>
                                        <w:div w:id="427897484">
                                          <w:marLeft w:val="0"/>
                                          <w:marRight w:val="0"/>
                                          <w:marTop w:val="0"/>
                                          <w:marBottom w:val="0"/>
                                          <w:divBdr>
                                            <w:top w:val="none" w:sz="0" w:space="0" w:color="auto"/>
                                            <w:left w:val="none" w:sz="0" w:space="0" w:color="auto"/>
                                            <w:bottom w:val="none" w:sz="0" w:space="0" w:color="auto"/>
                                            <w:right w:val="none" w:sz="0" w:space="0" w:color="auto"/>
                                          </w:divBdr>
                                          <w:divsChild>
                                            <w:div w:id="1687826699">
                                              <w:marLeft w:val="0"/>
                                              <w:marRight w:val="0"/>
                                              <w:marTop w:val="0"/>
                                              <w:marBottom w:val="0"/>
                                              <w:divBdr>
                                                <w:top w:val="none" w:sz="0" w:space="0" w:color="auto"/>
                                                <w:left w:val="none" w:sz="0" w:space="0" w:color="auto"/>
                                                <w:bottom w:val="none" w:sz="0" w:space="0" w:color="auto"/>
                                                <w:right w:val="none" w:sz="0" w:space="0" w:color="auto"/>
                                              </w:divBdr>
                                              <w:divsChild>
                                                <w:div w:id="905340634">
                                                  <w:marLeft w:val="0"/>
                                                  <w:marRight w:val="0"/>
                                                  <w:marTop w:val="0"/>
                                                  <w:marBottom w:val="0"/>
                                                  <w:divBdr>
                                                    <w:top w:val="none" w:sz="0" w:space="0" w:color="auto"/>
                                                    <w:left w:val="none" w:sz="0" w:space="0" w:color="auto"/>
                                                    <w:bottom w:val="none" w:sz="0" w:space="0" w:color="auto"/>
                                                    <w:right w:val="none" w:sz="0" w:space="0" w:color="auto"/>
                                                  </w:divBdr>
                                                  <w:divsChild>
                                                    <w:div w:id="2092501131">
                                                      <w:marLeft w:val="0"/>
                                                      <w:marRight w:val="0"/>
                                                      <w:marTop w:val="0"/>
                                                      <w:marBottom w:val="0"/>
                                                      <w:divBdr>
                                                        <w:top w:val="none" w:sz="0" w:space="0" w:color="auto"/>
                                                        <w:left w:val="none" w:sz="0" w:space="0" w:color="auto"/>
                                                        <w:bottom w:val="none" w:sz="0" w:space="0" w:color="auto"/>
                                                        <w:right w:val="none" w:sz="0" w:space="0" w:color="auto"/>
                                                      </w:divBdr>
                                                      <w:divsChild>
                                                        <w:div w:id="1474523974">
                                                          <w:marLeft w:val="0"/>
                                                          <w:marRight w:val="0"/>
                                                          <w:marTop w:val="0"/>
                                                          <w:marBottom w:val="0"/>
                                                          <w:divBdr>
                                                            <w:top w:val="none" w:sz="0" w:space="0" w:color="auto"/>
                                                            <w:left w:val="none" w:sz="0" w:space="0" w:color="auto"/>
                                                            <w:bottom w:val="none" w:sz="0" w:space="0" w:color="auto"/>
                                                            <w:right w:val="none" w:sz="0" w:space="0" w:color="auto"/>
                                                          </w:divBdr>
                                                          <w:divsChild>
                                                            <w:div w:id="763888169">
                                                              <w:marLeft w:val="0"/>
                                                              <w:marRight w:val="0"/>
                                                              <w:marTop w:val="0"/>
                                                              <w:marBottom w:val="0"/>
                                                              <w:divBdr>
                                                                <w:top w:val="none" w:sz="0" w:space="0" w:color="auto"/>
                                                                <w:left w:val="none" w:sz="0" w:space="0" w:color="auto"/>
                                                                <w:bottom w:val="none" w:sz="0" w:space="0" w:color="auto"/>
                                                                <w:right w:val="none" w:sz="0" w:space="0" w:color="auto"/>
                                                              </w:divBdr>
                                                              <w:divsChild>
                                                                <w:div w:id="1774860890">
                                                                  <w:marLeft w:val="0"/>
                                                                  <w:marRight w:val="0"/>
                                                                  <w:marTop w:val="0"/>
                                                                  <w:marBottom w:val="0"/>
                                                                  <w:divBdr>
                                                                    <w:top w:val="none" w:sz="0" w:space="0" w:color="auto"/>
                                                                    <w:left w:val="none" w:sz="0" w:space="0" w:color="auto"/>
                                                                    <w:bottom w:val="none" w:sz="0" w:space="0" w:color="auto"/>
                                                                    <w:right w:val="none" w:sz="0" w:space="0" w:color="auto"/>
                                                                  </w:divBdr>
                                                                  <w:divsChild>
                                                                    <w:div w:id="1707679">
                                                                      <w:marLeft w:val="0"/>
                                                                      <w:marRight w:val="0"/>
                                                                      <w:marTop w:val="0"/>
                                                                      <w:marBottom w:val="0"/>
                                                                      <w:divBdr>
                                                                        <w:top w:val="none" w:sz="0" w:space="0" w:color="auto"/>
                                                                        <w:left w:val="none" w:sz="0" w:space="0" w:color="auto"/>
                                                                        <w:bottom w:val="none" w:sz="0" w:space="0" w:color="auto"/>
                                                                        <w:right w:val="none" w:sz="0" w:space="0" w:color="auto"/>
                                                                      </w:divBdr>
                                                                      <w:divsChild>
                                                                        <w:div w:id="1833333608">
                                                                          <w:marLeft w:val="0"/>
                                                                          <w:marRight w:val="0"/>
                                                                          <w:marTop w:val="0"/>
                                                                          <w:marBottom w:val="0"/>
                                                                          <w:divBdr>
                                                                            <w:top w:val="none" w:sz="0" w:space="0" w:color="auto"/>
                                                                            <w:left w:val="none" w:sz="0" w:space="0" w:color="auto"/>
                                                                            <w:bottom w:val="none" w:sz="0" w:space="0" w:color="auto"/>
                                                                            <w:right w:val="none" w:sz="0" w:space="0" w:color="auto"/>
                                                                          </w:divBdr>
                                                                          <w:divsChild>
                                                                            <w:div w:id="1491868763">
                                                                              <w:marLeft w:val="0"/>
                                                                              <w:marRight w:val="0"/>
                                                                              <w:marTop w:val="0"/>
                                                                              <w:marBottom w:val="0"/>
                                                                              <w:divBdr>
                                                                                <w:top w:val="none" w:sz="0" w:space="0" w:color="auto"/>
                                                                                <w:left w:val="none" w:sz="0" w:space="0" w:color="auto"/>
                                                                                <w:bottom w:val="none" w:sz="0" w:space="0" w:color="auto"/>
                                                                                <w:right w:val="none" w:sz="0" w:space="0" w:color="auto"/>
                                                                              </w:divBdr>
                                                                              <w:divsChild>
                                                                                <w:div w:id="12904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9509996">
      <w:bodyDiv w:val="1"/>
      <w:marLeft w:val="0"/>
      <w:marRight w:val="0"/>
      <w:marTop w:val="0"/>
      <w:marBottom w:val="0"/>
      <w:divBdr>
        <w:top w:val="none" w:sz="0" w:space="0" w:color="auto"/>
        <w:left w:val="none" w:sz="0" w:space="0" w:color="auto"/>
        <w:bottom w:val="none" w:sz="0" w:space="0" w:color="auto"/>
        <w:right w:val="none" w:sz="0" w:space="0" w:color="auto"/>
      </w:divBdr>
      <w:divsChild>
        <w:div w:id="697466736">
          <w:marLeft w:val="0"/>
          <w:marRight w:val="0"/>
          <w:marTop w:val="0"/>
          <w:marBottom w:val="0"/>
          <w:divBdr>
            <w:top w:val="none" w:sz="0" w:space="0" w:color="auto"/>
            <w:left w:val="none" w:sz="0" w:space="0" w:color="auto"/>
            <w:bottom w:val="none" w:sz="0" w:space="0" w:color="auto"/>
            <w:right w:val="none" w:sz="0" w:space="0" w:color="auto"/>
          </w:divBdr>
          <w:divsChild>
            <w:div w:id="784806730">
              <w:marLeft w:val="0"/>
              <w:marRight w:val="0"/>
              <w:marTop w:val="0"/>
              <w:marBottom w:val="0"/>
              <w:divBdr>
                <w:top w:val="none" w:sz="0" w:space="0" w:color="auto"/>
                <w:left w:val="none" w:sz="0" w:space="0" w:color="auto"/>
                <w:bottom w:val="none" w:sz="0" w:space="0" w:color="auto"/>
                <w:right w:val="none" w:sz="0" w:space="0" w:color="auto"/>
              </w:divBdr>
              <w:divsChild>
                <w:div w:id="1640526587">
                  <w:marLeft w:val="0"/>
                  <w:marRight w:val="0"/>
                  <w:marTop w:val="0"/>
                  <w:marBottom w:val="0"/>
                  <w:divBdr>
                    <w:top w:val="none" w:sz="0" w:space="0" w:color="auto"/>
                    <w:left w:val="none" w:sz="0" w:space="0" w:color="auto"/>
                    <w:bottom w:val="none" w:sz="0" w:space="0" w:color="auto"/>
                    <w:right w:val="none" w:sz="0" w:space="0" w:color="auto"/>
                  </w:divBdr>
                  <w:divsChild>
                    <w:div w:id="846554772">
                      <w:marLeft w:val="0"/>
                      <w:marRight w:val="0"/>
                      <w:marTop w:val="0"/>
                      <w:marBottom w:val="0"/>
                      <w:divBdr>
                        <w:top w:val="none" w:sz="0" w:space="0" w:color="auto"/>
                        <w:left w:val="none" w:sz="0" w:space="0" w:color="auto"/>
                        <w:bottom w:val="none" w:sz="0" w:space="0" w:color="auto"/>
                        <w:right w:val="none" w:sz="0" w:space="0" w:color="auto"/>
                      </w:divBdr>
                      <w:divsChild>
                        <w:div w:id="701594554">
                          <w:marLeft w:val="0"/>
                          <w:marRight w:val="0"/>
                          <w:marTop w:val="0"/>
                          <w:marBottom w:val="0"/>
                          <w:divBdr>
                            <w:top w:val="none" w:sz="0" w:space="0" w:color="auto"/>
                            <w:left w:val="none" w:sz="0" w:space="0" w:color="auto"/>
                            <w:bottom w:val="none" w:sz="0" w:space="0" w:color="auto"/>
                            <w:right w:val="none" w:sz="0" w:space="0" w:color="auto"/>
                          </w:divBdr>
                          <w:divsChild>
                            <w:div w:id="2013409698">
                              <w:marLeft w:val="0"/>
                              <w:marRight w:val="0"/>
                              <w:marTop w:val="0"/>
                              <w:marBottom w:val="0"/>
                              <w:divBdr>
                                <w:top w:val="none" w:sz="0" w:space="0" w:color="auto"/>
                                <w:left w:val="none" w:sz="0" w:space="0" w:color="auto"/>
                                <w:bottom w:val="none" w:sz="0" w:space="0" w:color="auto"/>
                                <w:right w:val="none" w:sz="0" w:space="0" w:color="auto"/>
                              </w:divBdr>
                              <w:divsChild>
                                <w:div w:id="1132215493">
                                  <w:marLeft w:val="0"/>
                                  <w:marRight w:val="0"/>
                                  <w:marTop w:val="0"/>
                                  <w:marBottom w:val="0"/>
                                  <w:divBdr>
                                    <w:top w:val="none" w:sz="0" w:space="0" w:color="auto"/>
                                    <w:left w:val="none" w:sz="0" w:space="0" w:color="auto"/>
                                    <w:bottom w:val="none" w:sz="0" w:space="0" w:color="auto"/>
                                    <w:right w:val="none" w:sz="0" w:space="0" w:color="auto"/>
                                  </w:divBdr>
                                  <w:divsChild>
                                    <w:div w:id="308826423">
                                      <w:marLeft w:val="0"/>
                                      <w:marRight w:val="0"/>
                                      <w:marTop w:val="0"/>
                                      <w:marBottom w:val="0"/>
                                      <w:divBdr>
                                        <w:top w:val="none" w:sz="0" w:space="0" w:color="auto"/>
                                        <w:left w:val="none" w:sz="0" w:space="0" w:color="auto"/>
                                        <w:bottom w:val="none" w:sz="0" w:space="0" w:color="auto"/>
                                        <w:right w:val="none" w:sz="0" w:space="0" w:color="auto"/>
                                      </w:divBdr>
                                      <w:divsChild>
                                        <w:div w:id="78987769">
                                          <w:marLeft w:val="0"/>
                                          <w:marRight w:val="0"/>
                                          <w:marTop w:val="0"/>
                                          <w:marBottom w:val="0"/>
                                          <w:divBdr>
                                            <w:top w:val="none" w:sz="0" w:space="0" w:color="auto"/>
                                            <w:left w:val="none" w:sz="0" w:space="0" w:color="auto"/>
                                            <w:bottom w:val="none" w:sz="0" w:space="0" w:color="auto"/>
                                            <w:right w:val="none" w:sz="0" w:space="0" w:color="auto"/>
                                          </w:divBdr>
                                          <w:divsChild>
                                            <w:div w:id="683019141">
                                              <w:marLeft w:val="0"/>
                                              <w:marRight w:val="0"/>
                                              <w:marTop w:val="0"/>
                                              <w:marBottom w:val="0"/>
                                              <w:divBdr>
                                                <w:top w:val="none" w:sz="0" w:space="0" w:color="auto"/>
                                                <w:left w:val="none" w:sz="0" w:space="0" w:color="auto"/>
                                                <w:bottom w:val="none" w:sz="0" w:space="0" w:color="auto"/>
                                                <w:right w:val="none" w:sz="0" w:space="0" w:color="auto"/>
                                              </w:divBdr>
                                              <w:divsChild>
                                                <w:div w:id="1902446580">
                                                  <w:marLeft w:val="0"/>
                                                  <w:marRight w:val="0"/>
                                                  <w:marTop w:val="0"/>
                                                  <w:marBottom w:val="0"/>
                                                  <w:divBdr>
                                                    <w:top w:val="none" w:sz="0" w:space="0" w:color="auto"/>
                                                    <w:left w:val="none" w:sz="0" w:space="0" w:color="auto"/>
                                                    <w:bottom w:val="none" w:sz="0" w:space="0" w:color="auto"/>
                                                    <w:right w:val="none" w:sz="0" w:space="0" w:color="auto"/>
                                                  </w:divBdr>
                                                  <w:divsChild>
                                                    <w:div w:id="447429509">
                                                      <w:marLeft w:val="0"/>
                                                      <w:marRight w:val="0"/>
                                                      <w:marTop w:val="0"/>
                                                      <w:marBottom w:val="0"/>
                                                      <w:divBdr>
                                                        <w:top w:val="none" w:sz="0" w:space="0" w:color="auto"/>
                                                        <w:left w:val="none" w:sz="0" w:space="0" w:color="auto"/>
                                                        <w:bottom w:val="none" w:sz="0" w:space="0" w:color="auto"/>
                                                        <w:right w:val="none" w:sz="0" w:space="0" w:color="auto"/>
                                                      </w:divBdr>
                                                      <w:divsChild>
                                                        <w:div w:id="1311904433">
                                                          <w:marLeft w:val="0"/>
                                                          <w:marRight w:val="0"/>
                                                          <w:marTop w:val="0"/>
                                                          <w:marBottom w:val="0"/>
                                                          <w:divBdr>
                                                            <w:top w:val="none" w:sz="0" w:space="0" w:color="auto"/>
                                                            <w:left w:val="none" w:sz="0" w:space="0" w:color="auto"/>
                                                            <w:bottom w:val="none" w:sz="0" w:space="0" w:color="auto"/>
                                                            <w:right w:val="none" w:sz="0" w:space="0" w:color="auto"/>
                                                          </w:divBdr>
                                                          <w:divsChild>
                                                            <w:div w:id="149912767">
                                                              <w:marLeft w:val="0"/>
                                                              <w:marRight w:val="0"/>
                                                              <w:marTop w:val="0"/>
                                                              <w:marBottom w:val="0"/>
                                                              <w:divBdr>
                                                                <w:top w:val="none" w:sz="0" w:space="0" w:color="auto"/>
                                                                <w:left w:val="none" w:sz="0" w:space="0" w:color="auto"/>
                                                                <w:bottom w:val="none" w:sz="0" w:space="0" w:color="auto"/>
                                                                <w:right w:val="none" w:sz="0" w:space="0" w:color="auto"/>
                                                              </w:divBdr>
                                                              <w:divsChild>
                                                                <w:div w:id="12125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0673292">
      <w:bodyDiv w:val="1"/>
      <w:marLeft w:val="0"/>
      <w:marRight w:val="0"/>
      <w:marTop w:val="0"/>
      <w:marBottom w:val="0"/>
      <w:divBdr>
        <w:top w:val="none" w:sz="0" w:space="0" w:color="auto"/>
        <w:left w:val="none" w:sz="0" w:space="0" w:color="auto"/>
        <w:bottom w:val="none" w:sz="0" w:space="0" w:color="auto"/>
        <w:right w:val="none" w:sz="0" w:space="0" w:color="auto"/>
      </w:divBdr>
    </w:div>
    <w:div w:id="481191349">
      <w:bodyDiv w:val="1"/>
      <w:marLeft w:val="0"/>
      <w:marRight w:val="0"/>
      <w:marTop w:val="0"/>
      <w:marBottom w:val="0"/>
      <w:divBdr>
        <w:top w:val="none" w:sz="0" w:space="0" w:color="auto"/>
        <w:left w:val="none" w:sz="0" w:space="0" w:color="auto"/>
        <w:bottom w:val="none" w:sz="0" w:space="0" w:color="auto"/>
        <w:right w:val="none" w:sz="0" w:space="0" w:color="auto"/>
      </w:divBdr>
      <w:divsChild>
        <w:div w:id="478032957">
          <w:marLeft w:val="0"/>
          <w:marRight w:val="0"/>
          <w:marTop w:val="0"/>
          <w:marBottom w:val="0"/>
          <w:divBdr>
            <w:top w:val="none" w:sz="0" w:space="0" w:color="auto"/>
            <w:left w:val="none" w:sz="0" w:space="0" w:color="auto"/>
            <w:bottom w:val="none" w:sz="0" w:space="0" w:color="auto"/>
            <w:right w:val="none" w:sz="0" w:space="0" w:color="auto"/>
          </w:divBdr>
          <w:divsChild>
            <w:div w:id="374307629">
              <w:marLeft w:val="0"/>
              <w:marRight w:val="0"/>
              <w:marTop w:val="0"/>
              <w:marBottom w:val="0"/>
              <w:divBdr>
                <w:top w:val="none" w:sz="0" w:space="0" w:color="auto"/>
                <w:left w:val="none" w:sz="0" w:space="0" w:color="auto"/>
                <w:bottom w:val="none" w:sz="0" w:space="0" w:color="auto"/>
                <w:right w:val="none" w:sz="0" w:space="0" w:color="auto"/>
              </w:divBdr>
              <w:divsChild>
                <w:div w:id="1384135448">
                  <w:marLeft w:val="0"/>
                  <w:marRight w:val="0"/>
                  <w:marTop w:val="0"/>
                  <w:marBottom w:val="0"/>
                  <w:divBdr>
                    <w:top w:val="none" w:sz="0" w:space="0" w:color="auto"/>
                    <w:left w:val="none" w:sz="0" w:space="0" w:color="auto"/>
                    <w:bottom w:val="none" w:sz="0" w:space="0" w:color="auto"/>
                    <w:right w:val="none" w:sz="0" w:space="0" w:color="auto"/>
                  </w:divBdr>
                  <w:divsChild>
                    <w:div w:id="1819885134">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72160125">
      <w:bodyDiv w:val="1"/>
      <w:marLeft w:val="0"/>
      <w:marRight w:val="0"/>
      <w:marTop w:val="0"/>
      <w:marBottom w:val="0"/>
      <w:divBdr>
        <w:top w:val="none" w:sz="0" w:space="0" w:color="auto"/>
        <w:left w:val="none" w:sz="0" w:space="0" w:color="auto"/>
        <w:bottom w:val="none" w:sz="0" w:space="0" w:color="auto"/>
        <w:right w:val="none" w:sz="0" w:space="0" w:color="auto"/>
      </w:divBdr>
      <w:divsChild>
        <w:div w:id="143284484">
          <w:marLeft w:val="0"/>
          <w:marRight w:val="0"/>
          <w:marTop w:val="0"/>
          <w:marBottom w:val="0"/>
          <w:divBdr>
            <w:top w:val="none" w:sz="0" w:space="0" w:color="auto"/>
            <w:left w:val="none" w:sz="0" w:space="0" w:color="auto"/>
            <w:bottom w:val="none" w:sz="0" w:space="0" w:color="auto"/>
            <w:right w:val="none" w:sz="0" w:space="0" w:color="auto"/>
          </w:divBdr>
          <w:divsChild>
            <w:div w:id="1509172520">
              <w:marLeft w:val="0"/>
              <w:marRight w:val="0"/>
              <w:marTop w:val="0"/>
              <w:marBottom w:val="0"/>
              <w:divBdr>
                <w:top w:val="none" w:sz="0" w:space="0" w:color="auto"/>
                <w:left w:val="none" w:sz="0" w:space="0" w:color="auto"/>
                <w:bottom w:val="none" w:sz="0" w:space="0" w:color="auto"/>
                <w:right w:val="none" w:sz="0" w:space="0" w:color="auto"/>
              </w:divBdr>
              <w:divsChild>
                <w:div w:id="1010841076">
                  <w:marLeft w:val="0"/>
                  <w:marRight w:val="0"/>
                  <w:marTop w:val="0"/>
                  <w:marBottom w:val="0"/>
                  <w:divBdr>
                    <w:top w:val="none" w:sz="0" w:space="0" w:color="auto"/>
                    <w:left w:val="none" w:sz="0" w:space="0" w:color="auto"/>
                    <w:bottom w:val="none" w:sz="0" w:space="0" w:color="auto"/>
                    <w:right w:val="none" w:sz="0" w:space="0" w:color="auto"/>
                  </w:divBdr>
                  <w:divsChild>
                    <w:div w:id="1327827376">
                      <w:marLeft w:val="0"/>
                      <w:marRight w:val="0"/>
                      <w:marTop w:val="0"/>
                      <w:marBottom w:val="0"/>
                      <w:divBdr>
                        <w:top w:val="none" w:sz="0" w:space="0" w:color="auto"/>
                        <w:left w:val="none" w:sz="0" w:space="0" w:color="auto"/>
                        <w:bottom w:val="none" w:sz="0" w:space="0" w:color="auto"/>
                        <w:right w:val="none" w:sz="0" w:space="0" w:color="auto"/>
                      </w:divBdr>
                      <w:divsChild>
                        <w:div w:id="1048340729">
                          <w:marLeft w:val="0"/>
                          <w:marRight w:val="0"/>
                          <w:marTop w:val="0"/>
                          <w:marBottom w:val="0"/>
                          <w:divBdr>
                            <w:top w:val="none" w:sz="0" w:space="0" w:color="auto"/>
                            <w:left w:val="none" w:sz="0" w:space="0" w:color="auto"/>
                            <w:bottom w:val="none" w:sz="0" w:space="0" w:color="auto"/>
                            <w:right w:val="none" w:sz="0" w:space="0" w:color="auto"/>
                          </w:divBdr>
                          <w:divsChild>
                            <w:div w:id="923538145">
                              <w:marLeft w:val="0"/>
                              <w:marRight w:val="0"/>
                              <w:marTop w:val="0"/>
                              <w:marBottom w:val="0"/>
                              <w:divBdr>
                                <w:top w:val="none" w:sz="0" w:space="0" w:color="auto"/>
                                <w:left w:val="none" w:sz="0" w:space="0" w:color="auto"/>
                                <w:bottom w:val="none" w:sz="0" w:space="0" w:color="auto"/>
                                <w:right w:val="none" w:sz="0" w:space="0" w:color="auto"/>
                              </w:divBdr>
                              <w:divsChild>
                                <w:div w:id="591545076">
                                  <w:marLeft w:val="0"/>
                                  <w:marRight w:val="0"/>
                                  <w:marTop w:val="0"/>
                                  <w:marBottom w:val="0"/>
                                  <w:divBdr>
                                    <w:top w:val="none" w:sz="0" w:space="0" w:color="auto"/>
                                    <w:left w:val="none" w:sz="0" w:space="0" w:color="auto"/>
                                    <w:bottom w:val="none" w:sz="0" w:space="0" w:color="auto"/>
                                    <w:right w:val="none" w:sz="0" w:space="0" w:color="auto"/>
                                  </w:divBdr>
                                  <w:divsChild>
                                    <w:div w:id="995914954">
                                      <w:marLeft w:val="0"/>
                                      <w:marRight w:val="0"/>
                                      <w:marTop w:val="0"/>
                                      <w:marBottom w:val="0"/>
                                      <w:divBdr>
                                        <w:top w:val="none" w:sz="0" w:space="0" w:color="auto"/>
                                        <w:left w:val="none" w:sz="0" w:space="0" w:color="auto"/>
                                        <w:bottom w:val="none" w:sz="0" w:space="0" w:color="auto"/>
                                        <w:right w:val="none" w:sz="0" w:space="0" w:color="auto"/>
                                      </w:divBdr>
                                      <w:divsChild>
                                        <w:div w:id="2116554771">
                                          <w:marLeft w:val="0"/>
                                          <w:marRight w:val="0"/>
                                          <w:marTop w:val="0"/>
                                          <w:marBottom w:val="0"/>
                                          <w:divBdr>
                                            <w:top w:val="none" w:sz="0" w:space="0" w:color="auto"/>
                                            <w:left w:val="none" w:sz="0" w:space="0" w:color="auto"/>
                                            <w:bottom w:val="none" w:sz="0" w:space="0" w:color="auto"/>
                                            <w:right w:val="none" w:sz="0" w:space="0" w:color="auto"/>
                                          </w:divBdr>
                                          <w:divsChild>
                                            <w:div w:id="992828162">
                                              <w:marLeft w:val="0"/>
                                              <w:marRight w:val="0"/>
                                              <w:marTop w:val="0"/>
                                              <w:marBottom w:val="0"/>
                                              <w:divBdr>
                                                <w:top w:val="none" w:sz="0" w:space="0" w:color="auto"/>
                                                <w:left w:val="none" w:sz="0" w:space="0" w:color="auto"/>
                                                <w:bottom w:val="none" w:sz="0" w:space="0" w:color="auto"/>
                                                <w:right w:val="none" w:sz="0" w:space="0" w:color="auto"/>
                                              </w:divBdr>
                                              <w:divsChild>
                                                <w:div w:id="889002321">
                                                  <w:marLeft w:val="0"/>
                                                  <w:marRight w:val="0"/>
                                                  <w:marTop w:val="0"/>
                                                  <w:marBottom w:val="0"/>
                                                  <w:divBdr>
                                                    <w:top w:val="none" w:sz="0" w:space="0" w:color="auto"/>
                                                    <w:left w:val="none" w:sz="0" w:space="0" w:color="auto"/>
                                                    <w:bottom w:val="none" w:sz="0" w:space="0" w:color="auto"/>
                                                    <w:right w:val="none" w:sz="0" w:space="0" w:color="auto"/>
                                                  </w:divBdr>
                                                  <w:divsChild>
                                                    <w:div w:id="1997802852">
                                                      <w:marLeft w:val="0"/>
                                                      <w:marRight w:val="0"/>
                                                      <w:marTop w:val="0"/>
                                                      <w:marBottom w:val="0"/>
                                                      <w:divBdr>
                                                        <w:top w:val="none" w:sz="0" w:space="0" w:color="auto"/>
                                                        <w:left w:val="none" w:sz="0" w:space="0" w:color="auto"/>
                                                        <w:bottom w:val="none" w:sz="0" w:space="0" w:color="auto"/>
                                                        <w:right w:val="none" w:sz="0" w:space="0" w:color="auto"/>
                                                      </w:divBdr>
                                                      <w:divsChild>
                                                        <w:div w:id="147064969">
                                                          <w:marLeft w:val="0"/>
                                                          <w:marRight w:val="0"/>
                                                          <w:marTop w:val="0"/>
                                                          <w:marBottom w:val="0"/>
                                                          <w:divBdr>
                                                            <w:top w:val="none" w:sz="0" w:space="0" w:color="auto"/>
                                                            <w:left w:val="none" w:sz="0" w:space="0" w:color="auto"/>
                                                            <w:bottom w:val="none" w:sz="0" w:space="0" w:color="auto"/>
                                                            <w:right w:val="none" w:sz="0" w:space="0" w:color="auto"/>
                                                          </w:divBdr>
                                                          <w:divsChild>
                                                            <w:div w:id="946733513">
                                                              <w:marLeft w:val="0"/>
                                                              <w:marRight w:val="0"/>
                                                              <w:marTop w:val="0"/>
                                                              <w:marBottom w:val="0"/>
                                                              <w:divBdr>
                                                                <w:top w:val="none" w:sz="0" w:space="0" w:color="auto"/>
                                                                <w:left w:val="none" w:sz="0" w:space="0" w:color="auto"/>
                                                                <w:bottom w:val="none" w:sz="0" w:space="0" w:color="auto"/>
                                                                <w:right w:val="none" w:sz="0" w:space="0" w:color="auto"/>
                                                              </w:divBdr>
                                                              <w:divsChild>
                                                                <w:div w:id="813983909">
                                                                  <w:marLeft w:val="0"/>
                                                                  <w:marRight w:val="0"/>
                                                                  <w:marTop w:val="0"/>
                                                                  <w:marBottom w:val="0"/>
                                                                  <w:divBdr>
                                                                    <w:top w:val="none" w:sz="0" w:space="0" w:color="auto"/>
                                                                    <w:left w:val="none" w:sz="0" w:space="0" w:color="auto"/>
                                                                    <w:bottom w:val="none" w:sz="0" w:space="0" w:color="auto"/>
                                                                    <w:right w:val="none" w:sz="0" w:space="0" w:color="auto"/>
                                                                  </w:divBdr>
                                                                  <w:divsChild>
                                                                    <w:div w:id="620693406">
                                                                      <w:marLeft w:val="0"/>
                                                                      <w:marRight w:val="0"/>
                                                                      <w:marTop w:val="0"/>
                                                                      <w:marBottom w:val="0"/>
                                                                      <w:divBdr>
                                                                        <w:top w:val="none" w:sz="0" w:space="0" w:color="auto"/>
                                                                        <w:left w:val="none" w:sz="0" w:space="0" w:color="auto"/>
                                                                        <w:bottom w:val="none" w:sz="0" w:space="0" w:color="auto"/>
                                                                        <w:right w:val="none" w:sz="0" w:space="0" w:color="auto"/>
                                                                      </w:divBdr>
                                                                      <w:divsChild>
                                                                        <w:div w:id="78931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158123">
      <w:bodyDiv w:val="1"/>
      <w:marLeft w:val="0"/>
      <w:marRight w:val="0"/>
      <w:marTop w:val="0"/>
      <w:marBottom w:val="0"/>
      <w:divBdr>
        <w:top w:val="none" w:sz="0" w:space="0" w:color="auto"/>
        <w:left w:val="none" w:sz="0" w:space="0" w:color="auto"/>
        <w:bottom w:val="none" w:sz="0" w:space="0" w:color="auto"/>
        <w:right w:val="none" w:sz="0" w:space="0" w:color="auto"/>
      </w:divBdr>
      <w:divsChild>
        <w:div w:id="1400249260">
          <w:marLeft w:val="0"/>
          <w:marRight w:val="0"/>
          <w:marTop w:val="0"/>
          <w:marBottom w:val="0"/>
          <w:divBdr>
            <w:top w:val="none" w:sz="0" w:space="0" w:color="auto"/>
            <w:left w:val="none" w:sz="0" w:space="0" w:color="auto"/>
            <w:bottom w:val="none" w:sz="0" w:space="0" w:color="auto"/>
            <w:right w:val="none" w:sz="0" w:space="0" w:color="auto"/>
          </w:divBdr>
          <w:divsChild>
            <w:div w:id="2125952701">
              <w:marLeft w:val="0"/>
              <w:marRight w:val="0"/>
              <w:marTop w:val="0"/>
              <w:marBottom w:val="0"/>
              <w:divBdr>
                <w:top w:val="none" w:sz="0" w:space="0" w:color="auto"/>
                <w:left w:val="none" w:sz="0" w:space="0" w:color="auto"/>
                <w:bottom w:val="none" w:sz="0" w:space="0" w:color="auto"/>
                <w:right w:val="none" w:sz="0" w:space="0" w:color="auto"/>
              </w:divBdr>
              <w:divsChild>
                <w:div w:id="1920208540">
                  <w:marLeft w:val="0"/>
                  <w:marRight w:val="0"/>
                  <w:marTop w:val="0"/>
                  <w:marBottom w:val="0"/>
                  <w:divBdr>
                    <w:top w:val="none" w:sz="0" w:space="0" w:color="auto"/>
                    <w:left w:val="none" w:sz="0" w:space="0" w:color="auto"/>
                    <w:bottom w:val="none" w:sz="0" w:space="0" w:color="auto"/>
                    <w:right w:val="none" w:sz="0" w:space="0" w:color="auto"/>
                  </w:divBdr>
                  <w:divsChild>
                    <w:div w:id="1821725011">
                      <w:marLeft w:val="0"/>
                      <w:marRight w:val="0"/>
                      <w:marTop w:val="0"/>
                      <w:marBottom w:val="0"/>
                      <w:divBdr>
                        <w:top w:val="none" w:sz="0" w:space="0" w:color="auto"/>
                        <w:left w:val="none" w:sz="0" w:space="0" w:color="auto"/>
                        <w:bottom w:val="none" w:sz="0" w:space="0" w:color="auto"/>
                        <w:right w:val="none" w:sz="0" w:space="0" w:color="auto"/>
                      </w:divBdr>
                      <w:divsChild>
                        <w:div w:id="134273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643311">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66495343">
      <w:bodyDiv w:val="1"/>
      <w:marLeft w:val="0"/>
      <w:marRight w:val="0"/>
      <w:marTop w:val="0"/>
      <w:marBottom w:val="0"/>
      <w:divBdr>
        <w:top w:val="none" w:sz="0" w:space="0" w:color="auto"/>
        <w:left w:val="none" w:sz="0" w:space="0" w:color="auto"/>
        <w:bottom w:val="none" w:sz="0" w:space="0" w:color="auto"/>
        <w:right w:val="none" w:sz="0" w:space="0" w:color="auto"/>
      </w:divBdr>
    </w:div>
    <w:div w:id="1238901935">
      <w:bodyDiv w:val="1"/>
      <w:marLeft w:val="0"/>
      <w:marRight w:val="0"/>
      <w:marTop w:val="0"/>
      <w:marBottom w:val="0"/>
      <w:divBdr>
        <w:top w:val="none" w:sz="0" w:space="0" w:color="auto"/>
        <w:left w:val="none" w:sz="0" w:space="0" w:color="auto"/>
        <w:bottom w:val="none" w:sz="0" w:space="0" w:color="auto"/>
        <w:right w:val="none" w:sz="0" w:space="0" w:color="auto"/>
      </w:divBdr>
    </w:div>
    <w:div w:id="1313757355">
      <w:bodyDiv w:val="1"/>
      <w:marLeft w:val="0"/>
      <w:marRight w:val="0"/>
      <w:marTop w:val="0"/>
      <w:marBottom w:val="0"/>
      <w:divBdr>
        <w:top w:val="none" w:sz="0" w:space="0" w:color="auto"/>
        <w:left w:val="none" w:sz="0" w:space="0" w:color="auto"/>
        <w:bottom w:val="none" w:sz="0" w:space="0" w:color="auto"/>
        <w:right w:val="none" w:sz="0" w:space="0" w:color="auto"/>
      </w:divBdr>
    </w:div>
    <w:div w:id="1360741362">
      <w:bodyDiv w:val="1"/>
      <w:marLeft w:val="0"/>
      <w:marRight w:val="0"/>
      <w:marTop w:val="0"/>
      <w:marBottom w:val="0"/>
      <w:divBdr>
        <w:top w:val="none" w:sz="0" w:space="0" w:color="auto"/>
        <w:left w:val="none" w:sz="0" w:space="0" w:color="auto"/>
        <w:bottom w:val="none" w:sz="0" w:space="0" w:color="auto"/>
        <w:right w:val="none" w:sz="0" w:space="0" w:color="auto"/>
      </w:divBdr>
      <w:divsChild>
        <w:div w:id="1982223578">
          <w:marLeft w:val="0"/>
          <w:marRight w:val="0"/>
          <w:marTop w:val="0"/>
          <w:marBottom w:val="0"/>
          <w:divBdr>
            <w:top w:val="single" w:sz="2" w:space="0" w:color="2E2E2E"/>
            <w:left w:val="single" w:sz="2" w:space="0" w:color="2E2E2E"/>
            <w:bottom w:val="single" w:sz="2" w:space="0" w:color="2E2E2E"/>
            <w:right w:val="single" w:sz="2" w:space="0" w:color="2E2E2E"/>
          </w:divBdr>
          <w:divsChild>
            <w:div w:id="1812290933">
              <w:marLeft w:val="0"/>
              <w:marRight w:val="0"/>
              <w:marTop w:val="0"/>
              <w:marBottom w:val="0"/>
              <w:divBdr>
                <w:top w:val="single" w:sz="6" w:space="0" w:color="C9C9C9"/>
                <w:left w:val="none" w:sz="0" w:space="0" w:color="auto"/>
                <w:bottom w:val="none" w:sz="0" w:space="0" w:color="auto"/>
                <w:right w:val="none" w:sz="0" w:space="0" w:color="auto"/>
              </w:divBdr>
              <w:divsChild>
                <w:div w:id="625086117">
                  <w:marLeft w:val="0"/>
                  <w:marRight w:val="0"/>
                  <w:marTop w:val="0"/>
                  <w:marBottom w:val="0"/>
                  <w:divBdr>
                    <w:top w:val="none" w:sz="0" w:space="0" w:color="auto"/>
                    <w:left w:val="none" w:sz="0" w:space="0" w:color="auto"/>
                    <w:bottom w:val="none" w:sz="0" w:space="0" w:color="auto"/>
                    <w:right w:val="none" w:sz="0" w:space="0" w:color="auto"/>
                  </w:divBdr>
                  <w:divsChild>
                    <w:div w:id="1662080230">
                      <w:marLeft w:val="0"/>
                      <w:marRight w:val="0"/>
                      <w:marTop w:val="0"/>
                      <w:marBottom w:val="0"/>
                      <w:divBdr>
                        <w:top w:val="none" w:sz="0" w:space="0" w:color="auto"/>
                        <w:left w:val="none" w:sz="0" w:space="0" w:color="auto"/>
                        <w:bottom w:val="none" w:sz="0" w:space="0" w:color="auto"/>
                        <w:right w:val="none" w:sz="0" w:space="0" w:color="auto"/>
                      </w:divBdr>
                      <w:divsChild>
                        <w:div w:id="1097755951">
                          <w:marLeft w:val="0"/>
                          <w:marRight w:val="0"/>
                          <w:marTop w:val="225"/>
                          <w:marBottom w:val="315"/>
                          <w:divBdr>
                            <w:top w:val="single" w:sz="6" w:space="0" w:color="D7D7D7"/>
                            <w:left w:val="single" w:sz="2" w:space="0" w:color="D7D7D7"/>
                            <w:bottom w:val="single" w:sz="6" w:space="0" w:color="D7D7D7"/>
                            <w:right w:val="single" w:sz="2" w:space="0" w:color="D7D7D7"/>
                          </w:divBdr>
                          <w:divsChild>
                            <w:div w:id="86853864">
                              <w:marLeft w:val="0"/>
                              <w:marRight w:val="0"/>
                              <w:marTop w:val="0"/>
                              <w:marBottom w:val="0"/>
                              <w:divBdr>
                                <w:top w:val="none" w:sz="0" w:space="0" w:color="auto"/>
                                <w:left w:val="none" w:sz="0" w:space="0" w:color="auto"/>
                                <w:bottom w:val="none" w:sz="0" w:space="0" w:color="auto"/>
                                <w:right w:val="none" w:sz="0" w:space="0" w:color="auto"/>
                              </w:divBdr>
                              <w:divsChild>
                                <w:div w:id="1045637310">
                                  <w:marLeft w:val="0"/>
                                  <w:marRight w:val="0"/>
                                  <w:marTop w:val="0"/>
                                  <w:marBottom w:val="0"/>
                                  <w:divBdr>
                                    <w:top w:val="none" w:sz="0" w:space="0" w:color="auto"/>
                                    <w:left w:val="none" w:sz="0" w:space="0" w:color="auto"/>
                                    <w:bottom w:val="none" w:sz="0" w:space="0" w:color="auto"/>
                                    <w:right w:val="none" w:sz="0" w:space="0" w:color="auto"/>
                                  </w:divBdr>
                                  <w:divsChild>
                                    <w:div w:id="5165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62095">
                              <w:marLeft w:val="0"/>
                              <w:marRight w:val="0"/>
                              <w:marTop w:val="0"/>
                              <w:marBottom w:val="0"/>
                              <w:divBdr>
                                <w:top w:val="none" w:sz="0" w:space="0" w:color="auto"/>
                                <w:left w:val="none" w:sz="0" w:space="0" w:color="auto"/>
                                <w:bottom w:val="none" w:sz="0" w:space="0" w:color="auto"/>
                                <w:right w:val="none" w:sz="0" w:space="0" w:color="auto"/>
                              </w:divBdr>
                            </w:div>
                          </w:divsChild>
                        </w:div>
                        <w:div w:id="1828016003">
                          <w:marLeft w:val="0"/>
                          <w:marRight w:val="0"/>
                          <w:marTop w:val="0"/>
                          <w:marBottom w:val="0"/>
                          <w:divBdr>
                            <w:top w:val="none" w:sz="0" w:space="0" w:color="auto"/>
                            <w:left w:val="none" w:sz="0" w:space="0" w:color="auto"/>
                            <w:bottom w:val="none" w:sz="0" w:space="0" w:color="auto"/>
                            <w:right w:val="none" w:sz="0" w:space="0" w:color="auto"/>
                          </w:divBdr>
                          <w:divsChild>
                            <w:div w:id="1017386188">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054168">
      <w:bodyDiv w:val="1"/>
      <w:marLeft w:val="0"/>
      <w:marRight w:val="0"/>
      <w:marTop w:val="0"/>
      <w:marBottom w:val="0"/>
      <w:divBdr>
        <w:top w:val="none" w:sz="0" w:space="0" w:color="auto"/>
        <w:left w:val="none" w:sz="0" w:space="0" w:color="auto"/>
        <w:bottom w:val="none" w:sz="0" w:space="0" w:color="auto"/>
        <w:right w:val="none" w:sz="0" w:space="0" w:color="auto"/>
      </w:divBdr>
    </w:div>
    <w:div w:id="1374958005">
      <w:bodyDiv w:val="1"/>
      <w:marLeft w:val="0"/>
      <w:marRight w:val="0"/>
      <w:marTop w:val="0"/>
      <w:marBottom w:val="0"/>
      <w:divBdr>
        <w:top w:val="none" w:sz="0" w:space="0" w:color="auto"/>
        <w:left w:val="none" w:sz="0" w:space="0" w:color="auto"/>
        <w:bottom w:val="none" w:sz="0" w:space="0" w:color="auto"/>
        <w:right w:val="none" w:sz="0" w:space="0" w:color="auto"/>
      </w:divBdr>
      <w:divsChild>
        <w:div w:id="1421414310">
          <w:marLeft w:val="0"/>
          <w:marRight w:val="0"/>
          <w:marTop w:val="0"/>
          <w:marBottom w:val="0"/>
          <w:divBdr>
            <w:top w:val="none" w:sz="0" w:space="0" w:color="auto"/>
            <w:left w:val="none" w:sz="0" w:space="0" w:color="auto"/>
            <w:bottom w:val="none" w:sz="0" w:space="0" w:color="auto"/>
            <w:right w:val="none" w:sz="0" w:space="0" w:color="auto"/>
          </w:divBdr>
          <w:divsChild>
            <w:div w:id="718673710">
              <w:marLeft w:val="0"/>
              <w:marRight w:val="0"/>
              <w:marTop w:val="0"/>
              <w:marBottom w:val="0"/>
              <w:divBdr>
                <w:top w:val="none" w:sz="0" w:space="0" w:color="auto"/>
                <w:left w:val="none" w:sz="0" w:space="0" w:color="auto"/>
                <w:bottom w:val="none" w:sz="0" w:space="0" w:color="auto"/>
                <w:right w:val="none" w:sz="0" w:space="0" w:color="auto"/>
              </w:divBdr>
              <w:divsChild>
                <w:div w:id="764307581">
                  <w:marLeft w:val="0"/>
                  <w:marRight w:val="0"/>
                  <w:marTop w:val="0"/>
                  <w:marBottom w:val="0"/>
                  <w:divBdr>
                    <w:top w:val="none" w:sz="0" w:space="0" w:color="auto"/>
                    <w:left w:val="none" w:sz="0" w:space="0" w:color="auto"/>
                    <w:bottom w:val="none" w:sz="0" w:space="0" w:color="auto"/>
                    <w:right w:val="none" w:sz="0" w:space="0" w:color="auto"/>
                  </w:divBdr>
                  <w:divsChild>
                    <w:div w:id="230773784">
                      <w:marLeft w:val="0"/>
                      <w:marRight w:val="0"/>
                      <w:marTop w:val="0"/>
                      <w:marBottom w:val="0"/>
                      <w:divBdr>
                        <w:top w:val="none" w:sz="0" w:space="0" w:color="auto"/>
                        <w:left w:val="none" w:sz="0" w:space="0" w:color="auto"/>
                        <w:bottom w:val="none" w:sz="0" w:space="0" w:color="auto"/>
                        <w:right w:val="none" w:sz="0" w:space="0" w:color="auto"/>
                      </w:divBdr>
                      <w:divsChild>
                        <w:div w:id="592905196">
                          <w:marLeft w:val="0"/>
                          <w:marRight w:val="0"/>
                          <w:marTop w:val="0"/>
                          <w:marBottom w:val="0"/>
                          <w:divBdr>
                            <w:top w:val="none" w:sz="0" w:space="0" w:color="auto"/>
                            <w:left w:val="none" w:sz="0" w:space="0" w:color="auto"/>
                            <w:bottom w:val="none" w:sz="0" w:space="0" w:color="auto"/>
                            <w:right w:val="none" w:sz="0" w:space="0" w:color="auto"/>
                          </w:divBdr>
                          <w:divsChild>
                            <w:div w:id="6278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088492">
      <w:bodyDiv w:val="1"/>
      <w:marLeft w:val="0"/>
      <w:marRight w:val="0"/>
      <w:marTop w:val="0"/>
      <w:marBottom w:val="0"/>
      <w:divBdr>
        <w:top w:val="none" w:sz="0" w:space="0" w:color="auto"/>
        <w:left w:val="none" w:sz="0" w:space="0" w:color="auto"/>
        <w:bottom w:val="none" w:sz="0" w:space="0" w:color="auto"/>
        <w:right w:val="none" w:sz="0" w:space="0" w:color="auto"/>
      </w:divBdr>
    </w:div>
    <w:div w:id="1473595293">
      <w:bodyDiv w:val="1"/>
      <w:marLeft w:val="0"/>
      <w:marRight w:val="0"/>
      <w:marTop w:val="0"/>
      <w:marBottom w:val="0"/>
      <w:divBdr>
        <w:top w:val="none" w:sz="0" w:space="0" w:color="auto"/>
        <w:left w:val="none" w:sz="0" w:space="0" w:color="auto"/>
        <w:bottom w:val="none" w:sz="0" w:space="0" w:color="auto"/>
        <w:right w:val="none" w:sz="0" w:space="0" w:color="auto"/>
      </w:divBdr>
      <w:divsChild>
        <w:div w:id="2008285199">
          <w:marLeft w:val="0"/>
          <w:marRight w:val="0"/>
          <w:marTop w:val="0"/>
          <w:marBottom w:val="0"/>
          <w:divBdr>
            <w:top w:val="none" w:sz="0" w:space="0" w:color="auto"/>
            <w:left w:val="none" w:sz="0" w:space="0" w:color="auto"/>
            <w:bottom w:val="none" w:sz="0" w:space="0" w:color="auto"/>
            <w:right w:val="none" w:sz="0" w:space="0" w:color="auto"/>
          </w:divBdr>
          <w:divsChild>
            <w:div w:id="1335918160">
              <w:marLeft w:val="0"/>
              <w:marRight w:val="0"/>
              <w:marTop w:val="0"/>
              <w:marBottom w:val="0"/>
              <w:divBdr>
                <w:top w:val="none" w:sz="0" w:space="0" w:color="auto"/>
                <w:left w:val="none" w:sz="0" w:space="0" w:color="auto"/>
                <w:bottom w:val="none" w:sz="0" w:space="0" w:color="auto"/>
                <w:right w:val="none" w:sz="0" w:space="0" w:color="auto"/>
              </w:divBdr>
              <w:divsChild>
                <w:div w:id="119694632">
                  <w:marLeft w:val="0"/>
                  <w:marRight w:val="0"/>
                  <w:marTop w:val="0"/>
                  <w:marBottom w:val="0"/>
                  <w:divBdr>
                    <w:top w:val="none" w:sz="0" w:space="0" w:color="auto"/>
                    <w:left w:val="none" w:sz="0" w:space="0" w:color="auto"/>
                    <w:bottom w:val="none" w:sz="0" w:space="0" w:color="auto"/>
                    <w:right w:val="none" w:sz="0" w:space="0" w:color="auto"/>
                  </w:divBdr>
                  <w:divsChild>
                    <w:div w:id="1920602931">
                      <w:marLeft w:val="0"/>
                      <w:marRight w:val="0"/>
                      <w:marTop w:val="0"/>
                      <w:marBottom w:val="0"/>
                      <w:divBdr>
                        <w:top w:val="none" w:sz="0" w:space="0" w:color="auto"/>
                        <w:left w:val="none" w:sz="0" w:space="0" w:color="auto"/>
                        <w:bottom w:val="none" w:sz="0" w:space="0" w:color="auto"/>
                        <w:right w:val="none" w:sz="0" w:space="0" w:color="auto"/>
                      </w:divBdr>
                      <w:divsChild>
                        <w:div w:id="3486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130526">
      <w:bodyDiv w:val="1"/>
      <w:marLeft w:val="0"/>
      <w:marRight w:val="0"/>
      <w:marTop w:val="0"/>
      <w:marBottom w:val="0"/>
      <w:divBdr>
        <w:top w:val="none" w:sz="0" w:space="0" w:color="auto"/>
        <w:left w:val="none" w:sz="0" w:space="0" w:color="auto"/>
        <w:bottom w:val="none" w:sz="0" w:space="0" w:color="auto"/>
        <w:right w:val="none" w:sz="0" w:space="0" w:color="auto"/>
      </w:divBdr>
    </w:div>
    <w:div w:id="1508210759">
      <w:bodyDiv w:val="1"/>
      <w:marLeft w:val="0"/>
      <w:marRight w:val="0"/>
      <w:marTop w:val="0"/>
      <w:marBottom w:val="0"/>
      <w:divBdr>
        <w:top w:val="none" w:sz="0" w:space="0" w:color="auto"/>
        <w:left w:val="none" w:sz="0" w:space="0" w:color="auto"/>
        <w:bottom w:val="none" w:sz="0" w:space="0" w:color="auto"/>
        <w:right w:val="none" w:sz="0" w:space="0" w:color="auto"/>
      </w:divBdr>
      <w:divsChild>
        <w:div w:id="1628971446">
          <w:marLeft w:val="0"/>
          <w:marRight w:val="0"/>
          <w:marTop w:val="0"/>
          <w:marBottom w:val="0"/>
          <w:divBdr>
            <w:top w:val="none" w:sz="0" w:space="0" w:color="auto"/>
            <w:left w:val="none" w:sz="0" w:space="0" w:color="auto"/>
            <w:bottom w:val="none" w:sz="0" w:space="0" w:color="auto"/>
            <w:right w:val="none" w:sz="0" w:space="0" w:color="auto"/>
          </w:divBdr>
          <w:divsChild>
            <w:div w:id="2109150996">
              <w:marLeft w:val="0"/>
              <w:marRight w:val="0"/>
              <w:marTop w:val="0"/>
              <w:marBottom w:val="0"/>
              <w:divBdr>
                <w:top w:val="none" w:sz="0" w:space="0" w:color="auto"/>
                <w:left w:val="none" w:sz="0" w:space="0" w:color="auto"/>
                <w:bottom w:val="none" w:sz="0" w:space="0" w:color="auto"/>
                <w:right w:val="none" w:sz="0" w:space="0" w:color="auto"/>
              </w:divBdr>
              <w:divsChild>
                <w:div w:id="772290397">
                  <w:marLeft w:val="0"/>
                  <w:marRight w:val="0"/>
                  <w:marTop w:val="0"/>
                  <w:marBottom w:val="0"/>
                  <w:divBdr>
                    <w:top w:val="none" w:sz="0" w:space="0" w:color="auto"/>
                    <w:left w:val="none" w:sz="0" w:space="0" w:color="auto"/>
                    <w:bottom w:val="none" w:sz="0" w:space="0" w:color="auto"/>
                    <w:right w:val="none" w:sz="0" w:space="0" w:color="auto"/>
                  </w:divBdr>
                  <w:divsChild>
                    <w:div w:id="1970013999">
                      <w:marLeft w:val="22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651634">
      <w:bodyDiv w:val="1"/>
      <w:marLeft w:val="0"/>
      <w:marRight w:val="0"/>
      <w:marTop w:val="0"/>
      <w:marBottom w:val="0"/>
      <w:divBdr>
        <w:top w:val="none" w:sz="0" w:space="0" w:color="auto"/>
        <w:left w:val="none" w:sz="0" w:space="0" w:color="auto"/>
        <w:bottom w:val="none" w:sz="0" w:space="0" w:color="auto"/>
        <w:right w:val="none" w:sz="0" w:space="0" w:color="auto"/>
      </w:divBdr>
      <w:divsChild>
        <w:div w:id="2067409609">
          <w:marLeft w:val="0"/>
          <w:marRight w:val="0"/>
          <w:marTop w:val="0"/>
          <w:marBottom w:val="0"/>
          <w:divBdr>
            <w:top w:val="none" w:sz="0" w:space="0" w:color="auto"/>
            <w:left w:val="none" w:sz="0" w:space="0" w:color="auto"/>
            <w:bottom w:val="none" w:sz="0" w:space="0" w:color="auto"/>
            <w:right w:val="none" w:sz="0" w:space="0" w:color="auto"/>
          </w:divBdr>
          <w:divsChild>
            <w:div w:id="1400446277">
              <w:marLeft w:val="0"/>
              <w:marRight w:val="0"/>
              <w:marTop w:val="0"/>
              <w:marBottom w:val="0"/>
              <w:divBdr>
                <w:top w:val="none" w:sz="0" w:space="0" w:color="auto"/>
                <w:left w:val="none" w:sz="0" w:space="0" w:color="auto"/>
                <w:bottom w:val="none" w:sz="0" w:space="0" w:color="auto"/>
                <w:right w:val="none" w:sz="0" w:space="0" w:color="auto"/>
              </w:divBdr>
              <w:divsChild>
                <w:div w:id="953751162">
                  <w:marLeft w:val="0"/>
                  <w:marRight w:val="0"/>
                  <w:marTop w:val="0"/>
                  <w:marBottom w:val="0"/>
                  <w:divBdr>
                    <w:top w:val="none" w:sz="0" w:space="0" w:color="auto"/>
                    <w:left w:val="none" w:sz="0" w:space="0" w:color="auto"/>
                    <w:bottom w:val="none" w:sz="0" w:space="0" w:color="auto"/>
                    <w:right w:val="none" w:sz="0" w:space="0" w:color="auto"/>
                  </w:divBdr>
                  <w:divsChild>
                    <w:div w:id="950208541">
                      <w:marLeft w:val="0"/>
                      <w:marRight w:val="0"/>
                      <w:marTop w:val="0"/>
                      <w:marBottom w:val="0"/>
                      <w:divBdr>
                        <w:top w:val="none" w:sz="0" w:space="0" w:color="auto"/>
                        <w:left w:val="none" w:sz="0" w:space="0" w:color="auto"/>
                        <w:bottom w:val="none" w:sz="0" w:space="0" w:color="auto"/>
                        <w:right w:val="none" w:sz="0" w:space="0" w:color="auto"/>
                      </w:divBdr>
                      <w:divsChild>
                        <w:div w:id="24408600">
                          <w:marLeft w:val="0"/>
                          <w:marRight w:val="0"/>
                          <w:marTop w:val="0"/>
                          <w:marBottom w:val="0"/>
                          <w:divBdr>
                            <w:top w:val="none" w:sz="0" w:space="0" w:color="auto"/>
                            <w:left w:val="none" w:sz="0" w:space="0" w:color="auto"/>
                            <w:bottom w:val="none" w:sz="0" w:space="0" w:color="auto"/>
                            <w:right w:val="none" w:sz="0" w:space="0" w:color="auto"/>
                          </w:divBdr>
                          <w:divsChild>
                            <w:div w:id="21589460">
                              <w:marLeft w:val="0"/>
                              <w:marRight w:val="0"/>
                              <w:marTop w:val="0"/>
                              <w:marBottom w:val="0"/>
                              <w:divBdr>
                                <w:top w:val="none" w:sz="0" w:space="0" w:color="auto"/>
                                <w:left w:val="none" w:sz="0" w:space="0" w:color="auto"/>
                                <w:bottom w:val="none" w:sz="0" w:space="0" w:color="auto"/>
                                <w:right w:val="none" w:sz="0" w:space="0" w:color="auto"/>
                              </w:divBdr>
                            </w:div>
                            <w:div w:id="146748513">
                              <w:marLeft w:val="0"/>
                              <w:marRight w:val="0"/>
                              <w:marTop w:val="0"/>
                              <w:marBottom w:val="0"/>
                              <w:divBdr>
                                <w:top w:val="none" w:sz="0" w:space="0" w:color="auto"/>
                                <w:left w:val="none" w:sz="0" w:space="0" w:color="auto"/>
                                <w:bottom w:val="none" w:sz="0" w:space="0" w:color="auto"/>
                                <w:right w:val="none" w:sz="0" w:space="0" w:color="auto"/>
                              </w:divBdr>
                            </w:div>
                            <w:div w:id="190917635">
                              <w:marLeft w:val="0"/>
                              <w:marRight w:val="0"/>
                              <w:marTop w:val="0"/>
                              <w:marBottom w:val="0"/>
                              <w:divBdr>
                                <w:top w:val="none" w:sz="0" w:space="0" w:color="auto"/>
                                <w:left w:val="none" w:sz="0" w:space="0" w:color="auto"/>
                                <w:bottom w:val="none" w:sz="0" w:space="0" w:color="auto"/>
                                <w:right w:val="none" w:sz="0" w:space="0" w:color="auto"/>
                              </w:divBdr>
                            </w:div>
                            <w:div w:id="62726556">
                              <w:marLeft w:val="0"/>
                              <w:marRight w:val="0"/>
                              <w:marTop w:val="0"/>
                              <w:marBottom w:val="0"/>
                              <w:divBdr>
                                <w:top w:val="none" w:sz="0" w:space="0" w:color="auto"/>
                                <w:left w:val="none" w:sz="0" w:space="0" w:color="auto"/>
                                <w:bottom w:val="none" w:sz="0" w:space="0" w:color="auto"/>
                                <w:right w:val="none" w:sz="0" w:space="0" w:color="auto"/>
                              </w:divBdr>
                            </w:div>
                            <w:div w:id="1924952904">
                              <w:marLeft w:val="0"/>
                              <w:marRight w:val="0"/>
                              <w:marTop w:val="0"/>
                              <w:marBottom w:val="0"/>
                              <w:divBdr>
                                <w:top w:val="none" w:sz="0" w:space="0" w:color="auto"/>
                                <w:left w:val="none" w:sz="0" w:space="0" w:color="auto"/>
                                <w:bottom w:val="none" w:sz="0" w:space="0" w:color="auto"/>
                                <w:right w:val="none" w:sz="0" w:space="0" w:color="auto"/>
                              </w:divBdr>
                            </w:div>
                            <w:div w:id="723798219">
                              <w:marLeft w:val="0"/>
                              <w:marRight w:val="0"/>
                              <w:marTop w:val="0"/>
                              <w:marBottom w:val="0"/>
                              <w:divBdr>
                                <w:top w:val="none" w:sz="0" w:space="0" w:color="auto"/>
                                <w:left w:val="none" w:sz="0" w:space="0" w:color="auto"/>
                                <w:bottom w:val="none" w:sz="0" w:space="0" w:color="auto"/>
                                <w:right w:val="none" w:sz="0" w:space="0" w:color="auto"/>
                              </w:divBdr>
                            </w:div>
                            <w:div w:id="743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7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fasebj.org/content/28/1_Supplement/632.12" TargetMode="External"/><Relationship Id="rId18" Type="http://schemas.openxmlformats.org/officeDocument/2006/relationships/hyperlink" Target="http://www.foedevarestyrelsen.dk/english/.../25.../Trans_fatty_acid.DOC" TargetMode="External"/><Relationship Id="rId26" Type="http://schemas.openxmlformats.org/officeDocument/2006/relationships/hyperlink" Target="https://www.gov.uk/government/uploads/system/uploads/attachment_data/file/167938/Summary_Report.pdf" TargetMode="External"/><Relationship Id="rId39" Type="http://schemas.openxmlformats.org/officeDocument/2006/relationships/hyperlink" Target="http://www.codexalimentarius.org/standards/list-of-standards/" TargetMode="External"/><Relationship Id="rId21" Type="http://schemas.openxmlformats.org/officeDocument/2006/relationships/hyperlink" Target="http://www.foodstandards.gov.au/code/userguide/pages/nutritioninformation1406.aspx" TargetMode="External"/><Relationship Id="rId34" Type="http://schemas.openxmlformats.org/officeDocument/2006/relationships/hyperlink" Target="http://www.ecfr.gov/cgi-bin/text-idx?SID=50c7e808f8d7d041fe07e13453d53306&amp;c=ecfr&amp;tpl=/ecfrbrowse/Title21/21cfrv2_02.tpl" TargetMode="External"/><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foodlabellingreview.gov.au/internet/foodlabelling/publishing.nsf/content/48C0548D80E715BCCA257825001E5DC0/$File/Labelling%20Logic_2011.pdf" TargetMode="External"/><Relationship Id="rId29" Type="http://schemas.openxmlformats.org/officeDocument/2006/relationships/hyperlink" Target="http://www.who.int/dietphysicalactivity/strategy/eb11344/strategy_english_web.pdf%20%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nhmrc.gov.au/_files_nhmrc/publications/attachments/n55_australian_dietary_guidelines_130530.pdf%20Accessed%208%20May%202014" TargetMode="External"/><Relationship Id="rId32" Type="http://schemas.openxmlformats.org/officeDocument/2006/relationships/hyperlink" Target="http://www.foodstandards.gov.au/code/Pages/default.aspx" TargetMode="External"/><Relationship Id="rId37" Type="http://schemas.openxmlformats.org/officeDocument/2006/relationships/hyperlink" Target="https://www.gov.uk/government/consultations/food-information-regulations-fir-2013" TargetMode="External"/><Relationship Id="rId40" Type="http://schemas.openxmlformats.org/officeDocument/2006/relationships/header" Target="header2.xml"/><Relationship Id="rId45"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gov.uk/government/publications/national-diet-and-nutrition-survey-results-from-years-1-to-4-combined-of-the-rolling-programme-for-2008-and-2009-to-2011-and-2012" TargetMode="External"/><Relationship Id="rId23" Type="http://schemas.openxmlformats.org/officeDocument/2006/relationships/hyperlink" Target="http://www.nhmrc.gov.au/guidelines/publications/n35-n36-n37" TargetMode="External"/><Relationship Id="rId28" Type="http://schemas.openxmlformats.org/officeDocument/2006/relationships/hyperlink" Target="http://whqlibdoc.who.int/trs/who_trs_916.pdf" TargetMode="External"/><Relationship Id="rId36" Type="http://schemas.openxmlformats.org/officeDocument/2006/relationships/hyperlink" Target="http://eur-lex.europa.eu/LexUriServ/LexUriServ.do?uri=OJ:L:2011:304:0018:0063:EN:PDF" TargetMode="External"/><Relationship Id="rId10" Type="http://schemas.openxmlformats.org/officeDocument/2006/relationships/header" Target="header1.xml"/><Relationship Id="rId19" Type="http://schemas.openxmlformats.org/officeDocument/2006/relationships/hyperlink" Target="http://www.foodstandards.gov.au/publications/Pages/transfattyacidsrepor4561.aspx" TargetMode="External"/><Relationship Id="rId31" Type="http://schemas.openxmlformats.org/officeDocument/2006/relationships/hyperlink" Target="https://www.federalregister.gov/articles/2013/11/08/2013-26854/tentative-determination-regarding-partially-hydrogenated-oils-request-for-comments-and-for" TargetMode="External"/><Relationship Id="rId44"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bs.gov.au/ausstats/abs@.nsf/mf/4364.0.55.007" TargetMode="External"/><Relationship Id="rId22" Type="http://schemas.openxmlformats.org/officeDocument/2006/relationships/hyperlink" Target="http://www.health.govt.nz/system/files/documents/publications/foodandnutritionguidelines-adults.pdf" TargetMode="External"/><Relationship Id="rId27" Type="http://schemas.openxmlformats.org/officeDocument/2006/relationships/hyperlink" Target="http://www.health.govt.nz/publication/focus-nutrition-key-findings-2008-09-nz-adult-nutrition-survey" TargetMode="External"/><Relationship Id="rId30" Type="http://schemas.openxmlformats.org/officeDocument/2006/relationships/footer" Target="footer3.xml"/><Relationship Id="rId35" Type="http://schemas.openxmlformats.org/officeDocument/2006/relationships/hyperlink" Target="http://www.fda.gov/Food/GuidanceRegulation/GuidanceDocumentsRegulatoryInformation/LabelingNutrition/ucm2006828.htm" TargetMode="Externa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foedevarestyrelsen.dk/english/Food/Trans%20fatty%20acids/Pages/default.aspx" TargetMode="External"/><Relationship Id="rId25" Type="http://schemas.openxmlformats.org/officeDocument/2006/relationships/hyperlink" Target="http://www.sacn.gov.uk/pdfs/sacn_trans_fatty_acids_report.pdf" TargetMode="External"/><Relationship Id="rId33" Type="http://schemas.openxmlformats.org/officeDocument/2006/relationships/hyperlink" Target="http://laws-lois.justice.gc.ca/eng/regulations/C.R.C.%2C_c._870/" TargetMode="External"/><Relationship Id="rId38" Type="http://schemas.openxmlformats.org/officeDocument/2006/relationships/hyperlink" Target="http://www.fooddrinkeurope.eu/uploads/press-releases_documents/FDE_Guidance_WEB1.pdf" TargetMode="External"/><Relationship Id="rId46" Type="http://schemas.openxmlformats.org/officeDocument/2006/relationships/customXml" Target="../customXml/item4.xml"/><Relationship Id="rId20" Type="http://schemas.openxmlformats.org/officeDocument/2006/relationships/hyperlink" Target="http://www.foodstandards.gov.au/publications/Pages/transfattyacidsrepor4560.aspx" TargetMode="External"/><Relationship Id="rId41" Type="http://schemas.openxmlformats.org/officeDocument/2006/relationships/footer" Target="footer4.xml"/></Relationships>
</file>

<file path=word/_rels/footnotes.xml.rels><?xml version="1.0" encoding="UTF-8" standalone="yes"?>
<Relationships xmlns="http://schemas.openxmlformats.org/package/2006/relationships"><Relationship Id="rId8" Type="http://schemas.openxmlformats.org/officeDocument/2006/relationships/hyperlink" Target="http://www.s-ge.com/6059BA05-8CAB-42A2-9427-2CE816B3CBD7/FinalDownload/DownloadId-D1408E7E5C70D1853E580572C0995300/6059BA05-8CAB-42A2-9427-2CE816B3CBD7/sites/default/files/guidance_on_food_labelling_0.pdf" TargetMode="External"/><Relationship Id="rId3" Type="http://schemas.openxmlformats.org/officeDocument/2006/relationships/hyperlink" Target="https://responsibilitydeal.dh.gov.uk/" TargetMode="External"/><Relationship Id="rId7" Type="http://schemas.openxmlformats.org/officeDocument/2006/relationships/hyperlink" Target="https://www.federalregister.gov/articles/2013/11/08/2013-26854/tentative-determination-regarding-partially-hydrogenated-oils-request-for-comments-and-for" TargetMode="External"/><Relationship Id="rId2" Type="http://schemas.openxmlformats.org/officeDocument/2006/relationships/hyperlink" Target="https://www.federalregister.gov/articles/2013/11/08/2013-26854/tentative-determination-regarding-partially-hydrogenated-oils-request-for-comments-and-for" TargetMode="External"/><Relationship Id="rId1" Type="http://schemas.openxmlformats.org/officeDocument/2006/relationships/hyperlink" Target="http://www.foodlabellingreview.gov.au/internet/foodlabelling/publishing.nsf/content/home" TargetMode="External"/><Relationship Id="rId6" Type="http://schemas.openxmlformats.org/officeDocument/2006/relationships/hyperlink" Target="http://www.hc-sc.gc.ca/fn-an/nutrition/gras-trans-fats/tfa-age_tc-tm-eng.php" TargetMode="External"/><Relationship Id="rId5" Type="http://schemas.openxmlformats.org/officeDocument/2006/relationships/hyperlink" Target="http://www.hc-sc.gc.ca/fn-an/nutrition/gras-trans-fats/index-eng.php" TargetMode="External"/><Relationship Id="rId4" Type="http://schemas.openxmlformats.org/officeDocument/2006/relationships/hyperlink" Target="http://www.s-ge.com/6059BA05-8CAB-42A2-9427-2CE816B3CBD7/FinalDownload/DownloadId-D1408E7E5C70D1853E580572C0995300/6059BA05-8CAB-42A2-9427-2CE816B3CBD7/sites/default/files/guidance_on_food_labelling_0.pdf" TargetMode="External"/><Relationship Id="rId9" Type="http://schemas.openxmlformats.org/officeDocument/2006/relationships/hyperlink" Target="https://responsibilitydeal.d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06C1AB8B9B40142BF14D99A2F841452" ma:contentTypeVersion="4" ma:contentTypeDescription="Create a new document." ma:contentTypeScope="" ma:versionID="74b70583551e6882379e017963bfba3b">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EF2E06-A601-4959-8158-46ECCCC1A2AC}"/>
</file>

<file path=customXml/itemProps2.xml><?xml version="1.0" encoding="utf-8"?>
<ds:datastoreItem xmlns:ds="http://schemas.openxmlformats.org/officeDocument/2006/customXml" ds:itemID="{D481BCB1-BA8B-40DF-900D-050DFC12D34F}"/>
</file>

<file path=customXml/itemProps3.xml><?xml version="1.0" encoding="utf-8"?>
<ds:datastoreItem xmlns:ds="http://schemas.openxmlformats.org/officeDocument/2006/customXml" ds:itemID="{BFECB2EF-7F70-490F-912C-78E12F6BDBBA}"/>
</file>

<file path=customXml/itemProps4.xml><?xml version="1.0" encoding="utf-8"?>
<ds:datastoreItem xmlns:ds="http://schemas.openxmlformats.org/officeDocument/2006/customXml" ds:itemID="{85202A6D-9A10-47E2-9EB8-001429C0D7CC}"/>
</file>

<file path=docProps/app.xml><?xml version="1.0" encoding="utf-8"?>
<Properties xmlns="http://schemas.openxmlformats.org/officeDocument/2006/extended-properties" xmlns:vt="http://schemas.openxmlformats.org/officeDocument/2006/docPropsVTypes">
  <Template>Normal</Template>
  <TotalTime>225</TotalTime>
  <Pages>24</Pages>
  <Words>11072</Words>
  <Characters>64277</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75199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Evaluation for Labelling Review Recommendation 13: Mandatory declaration of trans fatty acids in the nutrition information panel</dc:title>
  <dc:creator>Castles, Derek</dc:creator>
  <cp:lastModifiedBy>Diane Bourn</cp:lastModifiedBy>
  <cp:revision>32</cp:revision>
  <cp:lastPrinted>2014-05-20T00:45:00Z</cp:lastPrinted>
  <dcterms:created xsi:type="dcterms:W3CDTF">2014-10-01T08:57:00Z</dcterms:created>
  <dcterms:modified xsi:type="dcterms:W3CDTF">2015-01-22T01:20:00Z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0x010100406C1AB8B9B40142BF14D99A2F841452</vt:lpwstr>
  </property>
</Properties>
</file>